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40" w:rsidRDefault="007C1140" w:rsidP="00E10B37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2C1BFE">
        <w:rPr>
          <w:rFonts w:ascii="Times New Roman" w:hAnsi="Times New Roman" w:cs="Times New Roman"/>
          <w:color w:val="000000"/>
          <w:sz w:val="36"/>
        </w:rPr>
        <w:t>118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2C1BFE">
        <w:rPr>
          <w:rFonts w:ascii="Times New Roman" w:hAnsi="Times New Roman" w:cs="Times New Roman"/>
          <w:color w:val="000000"/>
          <w:sz w:val="36"/>
        </w:rPr>
        <w:t xml:space="preserve"> Retinopathy of Prematurity</w:t>
      </w:r>
    </w:p>
    <w:p w:rsidR="00E10B37" w:rsidRPr="003A37FE" w:rsidRDefault="00E10B37" w:rsidP="00E10B37">
      <w:pPr>
        <w:pStyle w:val="referencesheading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3A37FE">
        <w:rPr>
          <w:rFonts w:ascii="Times New Roman" w:hAnsi="Times New Roman" w:cs="Times New Roman"/>
          <w:color w:val="000000" w:themeColor="text1"/>
        </w:rPr>
        <w:t>Selected References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American Academy of Pediatrics, Section on Ophthalmology; American Academy of Ophthalmology; American Association for Pediatric Ophthalmology and Strabismus.</w:t>
      </w:r>
      <w:r w:rsidR="007C11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Screening examination of premature infants for retinopathy of prematurity.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2013;131:189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195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American Academy of Pediatrics</w:t>
      </w: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, </w:t>
      </w:r>
      <w:r w:rsidRPr="003A37FE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American College of Obstetrics and Gynecology.</w:t>
      </w:r>
      <w:r w:rsidR="007C1140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Neo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natal complications. In: Lockwood C, Lemons J, eds.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Guidelines for Perinatal Care.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6th ed. Atlanta, GA: ACOG; 2007:262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264.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American Academy of Pediatrics, Committee of Fetus and Newborn and Section on Surgery, Section on Anesthesiology and Pain Medicine, Canadian Paediatric Society and Fetus and Newborn Committee.</w:t>
      </w:r>
      <w:r w:rsidR="007C11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Prevention and management of pain in the neonate: an update.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2006;118;2231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2241. Reaffirmed.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2010;126;404.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Heidary G, Löfqvist C, Mantagos IS, et al.</w:t>
      </w:r>
      <w:r w:rsidR="007C11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Retinopathy of prematurity: clinical insights from molecular studies.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NeoReviews.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550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557.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International Committee for the Classification of Retinopathy of Prematurity.</w:t>
      </w:r>
      <w:r w:rsidR="007C11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international classification of retinopathy of prematurity revisited.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Arch Ophthalmol.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2005;123:991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999.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Mintz-Hittner HA, Kennedy KA, Chuang AZ; BEAT-ROP Cooperative Group.</w:t>
      </w:r>
      <w:r w:rsidR="007C11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Efficacy of intravitreal bevacizumab for stage 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+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retinopathy of prematurity.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 Eng</w:t>
      </w:r>
      <w:r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 xml:space="preserve"> J Med.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2011;364:603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615.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Phelps DL.</w:t>
      </w:r>
      <w:r w:rsidR="007C11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Retinopathy of prematurity: history, classification and pathophysiology.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NeoReviews.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2001;2:153.</w:t>
      </w:r>
    </w:p>
    <w:p w:rsidR="00E10B37" w:rsidRPr="003A37FE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Quinn GE, Barr C, Bremer D, et al. Changes in course of retinopathy of prematurity from 1986 to 2013: comparison of three studies in the United States. </w:t>
      </w:r>
      <w:r w:rsidRPr="003A37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Ophthalmology.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2016;123:1595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1600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0B37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STOP-ROP Multicenter Study Group.</w:t>
      </w:r>
      <w:r w:rsidR="007C11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Supplemental therapeutic oxygen for prethreshold retinopathy of prematurity (STOP-ROP), a randomized, controlled trial: I. Primary outcomes. </w:t>
      </w:r>
      <w:r w:rsidRPr="003A37FE">
        <w:rPr>
          <w:rStyle w:val="italic"/>
          <w:rFonts w:ascii="Times New Roman" w:hAnsi="Times New Roman" w:cs="Times New Roman"/>
          <w:color w:val="000000" w:themeColor="text1"/>
          <w:sz w:val="24"/>
          <w:szCs w:val="24"/>
        </w:rPr>
        <w:t>Pediatrics.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2000;105:295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-310</w:t>
      </w:r>
      <w:r w:rsidRPr="003A37F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0B37" w:rsidRDefault="00E10B37" w:rsidP="002C1BFE">
      <w:pPr>
        <w:pStyle w:val="referencestext"/>
        <w:tabs>
          <w:tab w:val="clear" w:pos="360"/>
          <w:tab w:val="left" w:pos="180"/>
        </w:tabs>
        <w:suppressAutoHyphens/>
        <w:spacing w:after="0" w:line="480" w:lineRule="auto"/>
        <w:ind w:left="0" w:firstLine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Wu C, Löfqvist C, Smith LE, VanderVeen DK, Hellström A; WINROP Consortium. Importance of early postnatal weight gain for normal retinal angiogenesis in very preterm infants a multicenter study analyzing weight velocity deviations for the prediction of retinopathy of prematurity. </w:t>
      </w:r>
      <w:r w:rsidRPr="001E320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Arch Ophthalmol</w:t>
      </w:r>
      <w:r w:rsidRPr="002E52A8">
        <w:rPr>
          <w:rFonts w:ascii="Times New Roman" w:hAnsi="Times New Roman" w:cs="Times New Roman"/>
          <w:color w:val="000000" w:themeColor="text1"/>
          <w:sz w:val="24"/>
          <w:szCs w:val="24"/>
        </w:rPr>
        <w:t>. 2012;130(8):992-999.</w:t>
      </w:r>
    </w:p>
    <w:p w:rsidR="003A1EC9" w:rsidRDefault="003A1EC9" w:rsidP="002C1BFE">
      <w:pPr>
        <w:tabs>
          <w:tab w:val="left" w:pos="180"/>
        </w:tabs>
      </w:pPr>
      <w:bookmarkStart w:id="0" w:name="_GoBack"/>
      <w:bookmarkEnd w:id="0"/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37"/>
    <w:rsid w:val="000D69EA"/>
    <w:rsid w:val="002C1BFE"/>
    <w:rsid w:val="003A1EC9"/>
    <w:rsid w:val="007C1140"/>
    <w:rsid w:val="00973E35"/>
    <w:rsid w:val="00E1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E10B3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E10B3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E10B3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heading">
    <w:name w:val="references_heading"/>
    <w:basedOn w:val="Normal"/>
    <w:uiPriority w:val="99"/>
    <w:rsid w:val="00E10B37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36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customStyle="1" w:styleId="referencestext">
    <w:name w:val="references_text"/>
    <w:basedOn w:val="Normal"/>
    <w:uiPriority w:val="99"/>
    <w:rsid w:val="00E10B37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italic">
    <w:name w:val="italic"/>
    <w:uiPriority w:val="99"/>
    <w:rsid w:val="00E10B3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2019-07-23T08:38:00Z</dcterms:created>
  <dcterms:modified xsi:type="dcterms:W3CDTF">2019-10-16T08:29:00Z</dcterms:modified>
</cp:coreProperties>
</file>