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65C" w:rsidRDefault="0093265C" w:rsidP="000A7035">
      <w:pPr>
        <w:widowControl w:val="0"/>
        <w:tabs>
          <w:tab w:val="right" w:pos="240"/>
          <w:tab w:val="left" w:pos="36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cs="TimesNewRomanPS-BoldMT"/>
          <w:b/>
          <w:bCs/>
          <w:sz w:val="24"/>
          <w:szCs w:val="24"/>
        </w:rPr>
      </w:pPr>
      <w:r w:rsidRPr="004A002D">
        <w:rPr>
          <w:rFonts w:ascii="Times New Roman" w:eastAsia="Times New Roman" w:hAnsi="Times New Roman"/>
          <w:b/>
          <w:bCs/>
          <w:color w:val="000000"/>
          <w:sz w:val="36"/>
          <w:szCs w:val="24"/>
        </w:rPr>
        <w:t>155</w:t>
      </w:r>
      <w:r>
        <w:rPr>
          <w:rFonts w:ascii="Times New Roman" w:eastAsia="Times New Roman" w:hAnsi="Times New Roman"/>
          <w:b/>
          <w:bCs/>
          <w:color w:val="000000"/>
          <w:sz w:val="36"/>
          <w:szCs w:val="24"/>
        </w:rPr>
        <w:t xml:space="preserve">   </w:t>
      </w:r>
      <w:r w:rsidRPr="004A002D">
        <w:rPr>
          <w:rFonts w:ascii="Times New Roman" w:eastAsia="Times New Roman" w:hAnsi="Times New Roman"/>
          <w:b/>
          <w:bCs/>
          <w:color w:val="000000"/>
          <w:sz w:val="36"/>
          <w:szCs w:val="24"/>
        </w:rPr>
        <w:t xml:space="preserve"> Medications Used in the Neonatal Intensive Care Unit</w:t>
      </w:r>
      <w:r w:rsidRPr="004A002D" w:rsidDel="0093265C">
        <w:rPr>
          <w:rFonts w:ascii="Times New Roman" w:eastAsia="Times New Roman" w:hAnsi="Times New Roman"/>
          <w:b/>
          <w:bCs/>
          <w:color w:val="000000"/>
          <w:sz w:val="36"/>
          <w:szCs w:val="24"/>
        </w:rPr>
        <w:t xml:space="preserve"> </w:t>
      </w:r>
    </w:p>
    <w:p w:rsidR="000A7035" w:rsidRPr="00125BF1" w:rsidRDefault="000A7035" w:rsidP="000A7035">
      <w:pPr>
        <w:widowControl w:val="0"/>
        <w:tabs>
          <w:tab w:val="right" w:pos="240"/>
          <w:tab w:val="left" w:pos="36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cs="TimesNewRomanPS-BoldMT"/>
          <w:b/>
          <w:bCs/>
          <w:sz w:val="24"/>
          <w:szCs w:val="24"/>
        </w:rPr>
      </w:pPr>
      <w:r w:rsidRPr="00125BF1">
        <w:rPr>
          <w:rFonts w:ascii="Times New Roman" w:eastAsia="Times New Roman" w:hAnsi="Times New Roman" w:cs="TimesNewRomanPS-BoldMT"/>
          <w:b/>
          <w:bCs/>
          <w:sz w:val="24"/>
          <w:szCs w:val="24"/>
        </w:rPr>
        <w:t>Selected References</w:t>
      </w:r>
    </w:p>
    <w:p w:rsidR="000A7035" w:rsidRPr="00052472"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17"/>
        </w:rPr>
      </w:pPr>
      <w:r w:rsidRPr="00052472">
        <w:rPr>
          <w:rFonts w:ascii="Times New Roman" w:eastAsia="Times New Roman" w:hAnsi="Times New Roman"/>
          <w:sz w:val="24"/>
          <w:szCs w:val="17"/>
        </w:rPr>
        <w:t>Abrams SA, Committee on Nutrition. Calcium and vitamin D requirements of enterally fed preterm infants.</w:t>
      </w:r>
      <w:r w:rsidR="0093265C">
        <w:rPr>
          <w:rFonts w:ascii="Times New Roman" w:eastAsia="Times New Roman" w:hAnsi="Times New Roman"/>
          <w:sz w:val="24"/>
          <w:szCs w:val="17"/>
        </w:rPr>
        <w:t xml:space="preserve"> </w:t>
      </w:r>
      <w:proofErr w:type="gramStart"/>
      <w:r w:rsidRPr="00052472">
        <w:rPr>
          <w:rFonts w:ascii="Times New Roman" w:eastAsia="Times New Roman" w:hAnsi="Times New Roman"/>
          <w:i/>
          <w:sz w:val="24"/>
          <w:szCs w:val="17"/>
        </w:rPr>
        <w:t>Pediatrics</w:t>
      </w:r>
      <w:r w:rsidRPr="00052472">
        <w:rPr>
          <w:rFonts w:ascii="Times New Roman" w:eastAsia="Times New Roman" w:hAnsi="Times New Roman"/>
          <w:sz w:val="24"/>
          <w:szCs w:val="17"/>
        </w:rPr>
        <w:t>.</w:t>
      </w:r>
      <w:proofErr w:type="gramEnd"/>
      <w:r w:rsidRPr="00052472">
        <w:rPr>
          <w:rFonts w:ascii="Times New Roman" w:eastAsia="Times New Roman" w:hAnsi="Times New Roman"/>
          <w:sz w:val="24"/>
          <w:szCs w:val="17"/>
        </w:rPr>
        <w:t xml:space="preserve"> 2013;131(5):e1676-1683. </w:t>
      </w:r>
    </w:p>
    <w:p w:rsidR="000A7035"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cs="TimesNewRomanPSMT"/>
          <w:sz w:val="24"/>
          <w:szCs w:val="17"/>
        </w:rPr>
      </w:pPr>
      <w:r w:rsidRPr="00125BF1">
        <w:rPr>
          <w:rFonts w:ascii="Times New Roman" w:eastAsia="Times New Roman" w:hAnsi="Times New Roman" w:cs="TimesNewRomanPSMT"/>
          <w:sz w:val="24"/>
          <w:szCs w:val="17"/>
        </w:rPr>
        <w:t xml:space="preserve">Agthe AG, Kim GR, Mathias KB, et al. Clonidine as an adjunct therapy to opioids for neonatal abstinence syndrome: a randomized, controlled trial. </w:t>
      </w:r>
      <w:r w:rsidRPr="00125BF1">
        <w:rPr>
          <w:rFonts w:ascii="Times New Roman" w:eastAsia="Times New Roman" w:hAnsi="Times New Roman" w:cs="TimesNewRomanPS-ItalicMT"/>
          <w:i/>
          <w:iCs/>
          <w:sz w:val="24"/>
          <w:szCs w:val="17"/>
        </w:rPr>
        <w:t>Pediatrics.</w:t>
      </w:r>
      <w:r>
        <w:rPr>
          <w:rFonts w:ascii="Times New Roman" w:eastAsia="Times New Roman" w:hAnsi="Times New Roman" w:cs="TimesNewRomanPSMT"/>
          <w:sz w:val="24"/>
          <w:szCs w:val="17"/>
        </w:rPr>
        <w:t xml:space="preserve"> 2009</w:t>
      </w:r>
      <w:proofErr w:type="gramStart"/>
      <w:r>
        <w:rPr>
          <w:rFonts w:ascii="Times New Roman" w:eastAsia="Times New Roman" w:hAnsi="Times New Roman" w:cs="TimesNewRomanPSMT"/>
          <w:sz w:val="24"/>
          <w:szCs w:val="17"/>
        </w:rPr>
        <w:t>;123</w:t>
      </w:r>
      <w:proofErr w:type="gramEnd"/>
      <w:r>
        <w:rPr>
          <w:rFonts w:ascii="Times New Roman" w:eastAsia="Times New Roman" w:hAnsi="Times New Roman" w:cs="TimesNewRomanPSMT"/>
          <w:sz w:val="24"/>
          <w:szCs w:val="17"/>
        </w:rPr>
        <w:t>(5):e849</w:t>
      </w:r>
      <w:r w:rsidR="0093265C">
        <w:rPr>
          <w:rFonts w:ascii="Times New Roman" w:eastAsia="Times New Roman" w:hAnsi="Times New Roman" w:cs="TimesNewRomanPSMT"/>
          <w:sz w:val="24"/>
          <w:szCs w:val="17"/>
        </w:rPr>
        <w:t>-</w:t>
      </w:r>
      <w:r>
        <w:rPr>
          <w:rFonts w:ascii="Times New Roman" w:eastAsia="Times New Roman" w:hAnsi="Times New Roman" w:cs="TimesNewRomanPSMT"/>
          <w:sz w:val="24"/>
          <w:szCs w:val="17"/>
        </w:rPr>
        <w:t>e856.</w:t>
      </w:r>
    </w:p>
    <w:p w:rsidR="000A7035" w:rsidRPr="00982EA0"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cs="TimesNewRomanPSMT"/>
          <w:sz w:val="24"/>
          <w:szCs w:val="17"/>
        </w:rPr>
      </w:pPr>
      <w:r w:rsidRPr="00125BF1">
        <w:rPr>
          <w:rFonts w:ascii="Times New Roman" w:eastAsia="Times New Roman" w:hAnsi="Times New Roman" w:cs="TimesNewRomanPSMT"/>
          <w:sz w:val="24"/>
          <w:szCs w:val="17"/>
        </w:rPr>
        <w:t xml:space="preserve">American Academy of Pediatrics. In: Kimberlin DW, </w:t>
      </w:r>
      <w:r>
        <w:rPr>
          <w:rFonts w:ascii="Times New Roman" w:eastAsia="Times New Roman" w:hAnsi="Times New Roman" w:cs="TimesNewRomanPSMT"/>
          <w:sz w:val="24"/>
          <w:szCs w:val="17"/>
        </w:rPr>
        <w:t xml:space="preserve">Brady MT, Jackson MA, </w:t>
      </w:r>
      <w:r w:rsidRPr="00125BF1">
        <w:rPr>
          <w:rFonts w:ascii="Times New Roman" w:eastAsia="Times New Roman" w:hAnsi="Times New Roman" w:cs="TimesNewRomanPSMT"/>
          <w:sz w:val="24"/>
          <w:szCs w:val="17"/>
        </w:rPr>
        <w:t xml:space="preserve">Long SS, eds. </w:t>
      </w:r>
      <w:r w:rsidRPr="00125BF1">
        <w:rPr>
          <w:rFonts w:ascii="Times New Roman" w:eastAsia="Times New Roman" w:hAnsi="Times New Roman" w:cs="TimesNewRomanPS-ItalicMT"/>
          <w:i/>
          <w:iCs/>
          <w:sz w:val="24"/>
          <w:szCs w:val="17"/>
        </w:rPr>
        <w:t>Red Book: 201</w:t>
      </w:r>
      <w:r>
        <w:rPr>
          <w:rFonts w:ascii="Times New Roman" w:eastAsia="Times New Roman" w:hAnsi="Times New Roman" w:cs="TimesNewRomanPS-ItalicMT"/>
          <w:i/>
          <w:iCs/>
          <w:sz w:val="24"/>
          <w:szCs w:val="17"/>
        </w:rPr>
        <w:t>5</w:t>
      </w:r>
      <w:r w:rsidRPr="00125BF1">
        <w:rPr>
          <w:rFonts w:ascii="Times New Roman" w:eastAsia="Times New Roman" w:hAnsi="Times New Roman" w:cs="TimesNewRomanPS-ItalicMT"/>
          <w:i/>
          <w:iCs/>
          <w:sz w:val="24"/>
          <w:szCs w:val="17"/>
        </w:rPr>
        <w:t xml:space="preserve"> Report of the Committee on Infectious Diseases.</w:t>
      </w:r>
      <w:r w:rsidRPr="00125BF1">
        <w:rPr>
          <w:rFonts w:ascii="Times New Roman" w:eastAsia="Times New Roman" w:hAnsi="Times New Roman" w:cs="TimesNewRomanPSMT"/>
          <w:sz w:val="24"/>
          <w:szCs w:val="17"/>
        </w:rPr>
        <w:t xml:space="preserve"> </w:t>
      </w:r>
      <w:r>
        <w:rPr>
          <w:rFonts w:ascii="Times New Roman" w:eastAsia="Times New Roman" w:hAnsi="Times New Roman" w:cs="TimesNewRomanPSMT"/>
          <w:sz w:val="24"/>
          <w:szCs w:val="17"/>
        </w:rPr>
        <w:t>30</w:t>
      </w:r>
      <w:r w:rsidRPr="00125BF1">
        <w:rPr>
          <w:rFonts w:ascii="Times New Roman" w:eastAsia="Times New Roman" w:hAnsi="Times New Roman" w:cs="TimesNewRomanPSMT"/>
          <w:sz w:val="24"/>
          <w:szCs w:val="17"/>
        </w:rPr>
        <w:t>th ed. Elk Grove Village, IL: American Academy of Pediatrics; 201</w:t>
      </w:r>
      <w:r>
        <w:rPr>
          <w:rFonts w:ascii="Times New Roman" w:eastAsia="Times New Roman" w:hAnsi="Times New Roman" w:cs="TimesNewRomanPSMT"/>
          <w:sz w:val="24"/>
          <w:szCs w:val="17"/>
        </w:rPr>
        <w:t>5</w:t>
      </w:r>
      <w:r w:rsidRPr="00125BF1">
        <w:rPr>
          <w:rFonts w:ascii="Times New Roman" w:eastAsia="Times New Roman" w:hAnsi="Times New Roman" w:cs="TimesNewRomanPSMT"/>
          <w:sz w:val="24"/>
          <w:szCs w:val="17"/>
        </w:rPr>
        <w:t>.</w:t>
      </w:r>
      <w:r>
        <w:rPr>
          <w:rFonts w:ascii="Times New Roman" w:eastAsia="Times New Roman" w:hAnsi="Times New Roman" w:cs="TimesNewRomanPSMT"/>
          <w:sz w:val="24"/>
          <w:szCs w:val="17"/>
        </w:rPr>
        <w:t xml:space="preserve"> </w:t>
      </w:r>
    </w:p>
    <w:p w:rsidR="000A7035" w:rsidRPr="00125BF1"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cs="TimesNewRomanPSMT"/>
          <w:sz w:val="24"/>
          <w:szCs w:val="17"/>
        </w:rPr>
      </w:pPr>
      <w:r w:rsidRPr="00125BF1">
        <w:rPr>
          <w:rFonts w:ascii="Times New Roman" w:eastAsia="Times New Roman" w:hAnsi="Times New Roman" w:cs="TimesNewRomanPSMT"/>
          <w:sz w:val="24"/>
          <w:szCs w:val="17"/>
        </w:rPr>
        <w:t xml:space="preserve">American Academy of Pediatrics, Committee on Drugs, and Committee on Fetus and Newborn. Neonatal drug withdrawal. </w:t>
      </w:r>
      <w:r w:rsidRPr="00125BF1">
        <w:rPr>
          <w:rFonts w:ascii="Times New Roman" w:eastAsia="Times New Roman" w:hAnsi="Times New Roman" w:cs="TimesNewRomanPS-ItalicMT"/>
          <w:i/>
          <w:iCs/>
          <w:sz w:val="24"/>
          <w:szCs w:val="17"/>
        </w:rPr>
        <w:t>Pediatrics</w:t>
      </w:r>
      <w:r w:rsidRPr="00125BF1">
        <w:rPr>
          <w:rFonts w:ascii="Times New Roman" w:eastAsia="Times New Roman" w:hAnsi="Times New Roman" w:cs="TimesNewRomanPSMT"/>
          <w:sz w:val="24"/>
          <w:szCs w:val="17"/>
        </w:rPr>
        <w:t>. 2012;129:e540</w:t>
      </w:r>
      <w:r>
        <w:rPr>
          <w:rFonts w:ascii="Times New Roman" w:eastAsia="Times New Roman" w:hAnsi="Times New Roman" w:cs="TimesNewRomanPSMT"/>
          <w:sz w:val="24"/>
          <w:szCs w:val="17"/>
        </w:rPr>
        <w:t>-</w:t>
      </w:r>
      <w:r w:rsidRPr="00125BF1">
        <w:rPr>
          <w:rFonts w:ascii="Times New Roman" w:eastAsia="Times New Roman" w:hAnsi="Times New Roman" w:cs="TimesNewRomanPSMT"/>
          <w:sz w:val="24"/>
          <w:szCs w:val="17"/>
        </w:rPr>
        <w:t>e560.</w:t>
      </w:r>
    </w:p>
    <w:p w:rsidR="000A7035"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cs="TimesNewRomanPSMT"/>
          <w:sz w:val="24"/>
          <w:szCs w:val="17"/>
        </w:rPr>
      </w:pPr>
      <w:r w:rsidRPr="00125BF1">
        <w:rPr>
          <w:rFonts w:ascii="Times New Roman" w:eastAsia="Times New Roman" w:hAnsi="Times New Roman" w:cs="TimesNewRomanPSMT"/>
          <w:sz w:val="24"/>
          <w:szCs w:val="17"/>
        </w:rPr>
        <w:t xml:space="preserve">American Academy of Pediatrics, Committee on Fetus and Newborn, and Canadian Pediatric Society, Fetus and Newborn Committee. Postnatal corticosteroids to treat or prevent chronic lung disease in preterm infants. </w:t>
      </w:r>
      <w:r w:rsidRPr="00125BF1">
        <w:rPr>
          <w:rFonts w:ascii="Times New Roman" w:eastAsia="Times New Roman" w:hAnsi="Times New Roman" w:cs="TimesNewRomanPS-ItalicMT"/>
          <w:i/>
          <w:iCs/>
          <w:sz w:val="24"/>
          <w:szCs w:val="17"/>
        </w:rPr>
        <w:t>Pediatrics.</w:t>
      </w:r>
      <w:r>
        <w:rPr>
          <w:rFonts w:ascii="Times New Roman" w:eastAsia="Times New Roman" w:hAnsi="Times New Roman" w:cs="TimesNewRomanPSMT"/>
          <w:sz w:val="24"/>
          <w:szCs w:val="17"/>
        </w:rPr>
        <w:t xml:space="preserve"> 2002;109:330-338.</w:t>
      </w:r>
    </w:p>
    <w:p w:rsidR="000A7035" w:rsidRPr="00052472"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17"/>
        </w:rPr>
      </w:pPr>
      <w:r w:rsidRPr="00052472">
        <w:rPr>
          <w:rFonts w:ascii="Times New Roman" w:eastAsia="Times New Roman" w:hAnsi="Times New Roman"/>
          <w:sz w:val="24"/>
          <w:szCs w:val="17"/>
        </w:rPr>
        <w:t xml:space="preserve">American Academy of Pediatrics, Committee on Infectious Diseases and Bronchiolitis Guidelines Committee. Updated guidance for palivizumab prophylaxis among infants and young children at increased risk of hospitalization for respiratory syncytial virus infection. </w:t>
      </w:r>
      <w:r w:rsidRPr="00052472">
        <w:rPr>
          <w:rFonts w:ascii="Times New Roman" w:eastAsia="Times New Roman" w:hAnsi="Times New Roman"/>
          <w:i/>
          <w:sz w:val="24"/>
          <w:szCs w:val="17"/>
        </w:rPr>
        <w:t>Pediatrics</w:t>
      </w:r>
      <w:r w:rsidRPr="00052472">
        <w:rPr>
          <w:rFonts w:ascii="Times New Roman" w:eastAsia="Times New Roman" w:hAnsi="Times New Roman"/>
          <w:sz w:val="24"/>
          <w:szCs w:val="17"/>
        </w:rPr>
        <w:t>. 2014;134(2):415-420.</w:t>
      </w:r>
    </w:p>
    <w:p w:rsidR="000A7035" w:rsidRPr="00147962"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17"/>
        </w:rPr>
      </w:pPr>
      <w:r w:rsidRPr="00147962">
        <w:rPr>
          <w:rFonts w:ascii="Times New Roman" w:eastAsia="Times New Roman" w:hAnsi="Times New Roman"/>
          <w:sz w:val="24"/>
          <w:szCs w:val="17"/>
        </w:rPr>
        <w:t xml:space="preserve">Anand KJ; International Evidence-Based Group for Neonatal Pain. Consensus statement for the prevention and management of pain in the newborn. </w:t>
      </w:r>
      <w:r w:rsidRPr="00147962">
        <w:rPr>
          <w:rFonts w:ascii="Times New Roman" w:eastAsia="Times New Roman" w:hAnsi="Times New Roman"/>
          <w:i/>
          <w:iCs/>
          <w:sz w:val="24"/>
          <w:szCs w:val="17"/>
        </w:rPr>
        <w:t>Arch Pediatr Adolesc Med</w:t>
      </w:r>
      <w:r w:rsidRPr="00147962">
        <w:rPr>
          <w:rFonts w:ascii="Times New Roman" w:eastAsia="Times New Roman" w:hAnsi="Times New Roman"/>
          <w:sz w:val="24"/>
          <w:szCs w:val="17"/>
        </w:rPr>
        <w:t>. 2001;155(2):173</w:t>
      </w:r>
      <w:r>
        <w:rPr>
          <w:rFonts w:ascii="Times New Roman" w:eastAsia="Times New Roman" w:hAnsi="Times New Roman"/>
          <w:sz w:val="24"/>
          <w:szCs w:val="17"/>
        </w:rPr>
        <w:t>-</w:t>
      </w:r>
      <w:r w:rsidRPr="00147962">
        <w:rPr>
          <w:rFonts w:ascii="Times New Roman" w:eastAsia="Times New Roman" w:hAnsi="Times New Roman"/>
          <w:sz w:val="24"/>
          <w:szCs w:val="17"/>
        </w:rPr>
        <w:t>180. Review: http://dailymed.nlm.nih.gov/dailymed/, http://www.accessdata.fda.gov. Accessed September, 2012.</w:t>
      </w:r>
    </w:p>
    <w:p w:rsidR="000A7035" w:rsidRDefault="000A7035" w:rsidP="004A002D">
      <w:pPr>
        <w:widowControl w:val="0"/>
        <w:tabs>
          <w:tab w:val="right" w:pos="240"/>
          <w:tab w:val="right" w:pos="540"/>
          <w:tab w:val="left" w:pos="600"/>
          <w:tab w:val="right" w:pos="780"/>
        </w:tabs>
        <w:suppressAutoHyphens/>
        <w:autoSpaceDE w:val="0"/>
        <w:autoSpaceDN w:val="0"/>
        <w:adjustRightInd w:val="0"/>
        <w:spacing w:before="80" w:after="0" w:line="480" w:lineRule="auto"/>
        <w:textAlignment w:val="center"/>
        <w:rPr>
          <w:rFonts w:ascii="Times New Roman" w:eastAsia="Times New Roman" w:hAnsi="Times New Roman"/>
          <w:color w:val="000000"/>
          <w:sz w:val="24"/>
          <w:szCs w:val="24"/>
        </w:rPr>
      </w:pPr>
      <w:r w:rsidRPr="001354C7">
        <w:rPr>
          <w:rFonts w:ascii="Times New Roman" w:eastAsia="Times New Roman" w:hAnsi="Times New Roman"/>
          <w:color w:val="000000"/>
          <w:sz w:val="24"/>
          <w:szCs w:val="24"/>
        </w:rPr>
        <w:t xml:space="preserve">Cloherty JP, Eichenwald EC, Stark AR, eds. </w:t>
      </w:r>
      <w:r w:rsidRPr="000519EB">
        <w:rPr>
          <w:rFonts w:ascii="Times New Roman" w:eastAsia="Times New Roman" w:hAnsi="Times New Roman"/>
          <w:i/>
          <w:color w:val="000000"/>
          <w:sz w:val="24"/>
          <w:szCs w:val="24"/>
        </w:rPr>
        <w:t>Manual of Neonatal Care</w:t>
      </w:r>
      <w:r w:rsidRPr="001354C7">
        <w:rPr>
          <w:rFonts w:ascii="Times New Roman" w:eastAsia="Times New Roman" w:hAnsi="Times New Roman"/>
          <w:color w:val="000000"/>
          <w:sz w:val="24"/>
          <w:szCs w:val="24"/>
        </w:rPr>
        <w:t xml:space="preserve">. 7th ed. Philadelphia, PA: </w:t>
      </w:r>
      <w:r w:rsidRPr="001354C7">
        <w:rPr>
          <w:rFonts w:ascii="Times New Roman" w:eastAsia="Times New Roman" w:hAnsi="Times New Roman"/>
          <w:color w:val="000000"/>
          <w:sz w:val="24"/>
          <w:szCs w:val="24"/>
        </w:rPr>
        <w:lastRenderedPageBreak/>
        <w:t>Lippincott Williams &amp; Wilkins; 2012.</w:t>
      </w:r>
    </w:p>
    <w:p w:rsidR="000A7035" w:rsidRDefault="000A7035" w:rsidP="004A002D">
      <w:pPr>
        <w:spacing w:line="480" w:lineRule="auto"/>
        <w:rPr>
          <w:rFonts w:ascii="Times New Roman" w:hAnsi="Times New Roman"/>
          <w:sz w:val="24"/>
        </w:rPr>
      </w:pPr>
      <w:r w:rsidRPr="00D93B77">
        <w:rPr>
          <w:rFonts w:ascii="Times New Roman" w:hAnsi="Times New Roman"/>
          <w:sz w:val="24"/>
        </w:rPr>
        <w:t xml:space="preserve">Dani C, Vangi V, Bertini G, Pratesi S, </w:t>
      </w:r>
      <w:r>
        <w:rPr>
          <w:rFonts w:ascii="Times New Roman" w:hAnsi="Times New Roman"/>
          <w:sz w:val="24"/>
        </w:rPr>
        <w:t>et al</w:t>
      </w:r>
      <w:r w:rsidRPr="00D93B77">
        <w:rPr>
          <w:rFonts w:ascii="Times New Roman" w:hAnsi="Times New Roman"/>
          <w:sz w:val="24"/>
        </w:rPr>
        <w:t>.</w:t>
      </w:r>
      <w:r>
        <w:rPr>
          <w:rFonts w:ascii="Times New Roman" w:hAnsi="Times New Roman"/>
          <w:sz w:val="24"/>
        </w:rPr>
        <w:t xml:space="preserve"> </w:t>
      </w:r>
      <w:r w:rsidRPr="00D93B77">
        <w:rPr>
          <w:rFonts w:ascii="Times New Roman" w:hAnsi="Times New Roman"/>
          <w:sz w:val="24"/>
        </w:rPr>
        <w:t xml:space="preserve">High-dose ibuprofen for patent ductus arteriosus in extremely preterm infants: a randomized controlled study. </w:t>
      </w:r>
      <w:r w:rsidRPr="00AD4783">
        <w:rPr>
          <w:rFonts w:ascii="Times New Roman" w:hAnsi="Times New Roman"/>
          <w:i/>
          <w:sz w:val="24"/>
        </w:rPr>
        <w:t>Clin Pharmacol Ther</w:t>
      </w:r>
      <w:r>
        <w:rPr>
          <w:rFonts w:ascii="Times New Roman" w:hAnsi="Times New Roman"/>
          <w:sz w:val="24"/>
        </w:rPr>
        <w:t>. 2012</w:t>
      </w:r>
      <w:r w:rsidRPr="00D93B77">
        <w:rPr>
          <w:rFonts w:ascii="Times New Roman" w:hAnsi="Times New Roman"/>
          <w:sz w:val="24"/>
        </w:rPr>
        <w:t>;91(4):590-</w:t>
      </w:r>
      <w:r>
        <w:rPr>
          <w:rFonts w:ascii="Times New Roman" w:hAnsi="Times New Roman"/>
          <w:sz w:val="24"/>
        </w:rPr>
        <w:t>59</w:t>
      </w:r>
      <w:r w:rsidRPr="00D93B77">
        <w:rPr>
          <w:rFonts w:ascii="Times New Roman" w:hAnsi="Times New Roman"/>
          <w:sz w:val="24"/>
        </w:rPr>
        <w:t>6.</w:t>
      </w:r>
    </w:p>
    <w:p w:rsidR="000A7035" w:rsidRPr="005E6D1A"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cs="TimesNewRomanPSMT"/>
          <w:sz w:val="24"/>
          <w:szCs w:val="17"/>
        </w:rPr>
      </w:pPr>
      <w:r w:rsidRPr="00125BF1">
        <w:rPr>
          <w:rFonts w:ascii="Times New Roman" w:eastAsia="Times New Roman" w:hAnsi="Times New Roman" w:cs="TimesNewRomanPSMT"/>
          <w:sz w:val="24"/>
          <w:szCs w:val="17"/>
        </w:rPr>
        <w:t xml:space="preserve">Doyle LW, Davis PG, Morley CJ, McPhee A, Carlin JB; DART Study Investigators. Low-dose dexamethasone facilitates extubation among chronically ventilator-dependent infants: a multicenter, international, randomized, controlled trial. </w:t>
      </w:r>
      <w:r w:rsidRPr="00125BF1">
        <w:rPr>
          <w:rFonts w:ascii="Times New Roman" w:eastAsia="Times New Roman" w:hAnsi="Times New Roman" w:cs="TimesNewRomanPS-ItalicMT"/>
          <w:i/>
          <w:iCs/>
          <w:sz w:val="24"/>
          <w:szCs w:val="17"/>
        </w:rPr>
        <w:t>Pediatrics.</w:t>
      </w:r>
      <w:r>
        <w:rPr>
          <w:rFonts w:ascii="Times New Roman" w:eastAsia="Times New Roman" w:hAnsi="Times New Roman" w:cs="TimesNewRomanPSMT"/>
          <w:sz w:val="24"/>
          <w:szCs w:val="17"/>
        </w:rPr>
        <w:t xml:space="preserve"> 2006;117:75-83.</w:t>
      </w:r>
    </w:p>
    <w:p w:rsidR="000A7035" w:rsidRDefault="000A7035" w:rsidP="004A002D">
      <w:pPr>
        <w:widowControl w:val="0"/>
        <w:tabs>
          <w:tab w:val="right" w:pos="240"/>
          <w:tab w:val="right" w:pos="540"/>
          <w:tab w:val="left" w:pos="600"/>
          <w:tab w:val="right" w:pos="780"/>
        </w:tabs>
        <w:suppressAutoHyphens/>
        <w:autoSpaceDE w:val="0"/>
        <w:autoSpaceDN w:val="0"/>
        <w:adjustRightInd w:val="0"/>
        <w:spacing w:before="80" w:after="0" w:line="480" w:lineRule="auto"/>
        <w:textAlignment w:val="center"/>
        <w:rPr>
          <w:rFonts w:ascii="Times New Roman" w:eastAsia="Times New Roman" w:hAnsi="Times New Roman"/>
          <w:color w:val="000000"/>
          <w:sz w:val="24"/>
          <w:szCs w:val="24"/>
        </w:rPr>
      </w:pPr>
      <w:r w:rsidRPr="00F552A5">
        <w:rPr>
          <w:rFonts w:ascii="Times New Roman" w:eastAsia="Times New Roman" w:hAnsi="Times New Roman"/>
          <w:color w:val="000000"/>
          <w:sz w:val="24"/>
          <w:szCs w:val="24"/>
        </w:rPr>
        <w:t xml:space="preserve">Flynn JT, Kaelber DC, Baker-Smith CM, et al. Clinical practice guideline for screening and management of high blood pressure in children and adolescents. </w:t>
      </w:r>
      <w:r w:rsidRPr="000519EB">
        <w:rPr>
          <w:rFonts w:ascii="Times New Roman" w:eastAsia="Times New Roman" w:hAnsi="Times New Roman"/>
          <w:i/>
          <w:color w:val="000000"/>
          <w:sz w:val="24"/>
          <w:szCs w:val="24"/>
        </w:rPr>
        <w:t>Pediatrics</w:t>
      </w:r>
      <w:r w:rsidRPr="00F552A5">
        <w:rPr>
          <w:rFonts w:ascii="Times New Roman" w:eastAsia="Times New Roman" w:hAnsi="Times New Roman"/>
          <w:color w:val="000000"/>
          <w:sz w:val="24"/>
          <w:szCs w:val="24"/>
        </w:rPr>
        <w:t>. 2017;140(3):e20171904</w:t>
      </w:r>
      <w:r>
        <w:rPr>
          <w:rFonts w:ascii="Times New Roman" w:eastAsia="Times New Roman" w:hAnsi="Times New Roman"/>
          <w:color w:val="000000"/>
          <w:sz w:val="24"/>
          <w:szCs w:val="24"/>
        </w:rPr>
        <w:t>.</w:t>
      </w:r>
    </w:p>
    <w:p w:rsidR="000A7035"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17"/>
        </w:rPr>
      </w:pPr>
      <w:r w:rsidRPr="00455C71">
        <w:rPr>
          <w:rFonts w:ascii="Times New Roman" w:eastAsia="Times New Roman" w:hAnsi="Times New Roman"/>
          <w:sz w:val="24"/>
          <w:szCs w:val="17"/>
        </w:rPr>
        <w:t xml:space="preserve">Hussain K, Aynsley-Green A, Stanley CA. Medications used in the treatment of hypoglycemia due to congenital hyperinsulinism of infancy (HI). </w:t>
      </w:r>
      <w:r w:rsidRPr="00455C71">
        <w:rPr>
          <w:rFonts w:ascii="Times New Roman" w:eastAsia="Times New Roman" w:hAnsi="Times New Roman"/>
          <w:i/>
          <w:iCs/>
          <w:sz w:val="24"/>
          <w:szCs w:val="17"/>
        </w:rPr>
        <w:t>Pediatr Endocrinol Rev</w:t>
      </w:r>
      <w:r w:rsidRPr="00455C71">
        <w:rPr>
          <w:rFonts w:ascii="Times New Roman" w:eastAsia="Times New Roman" w:hAnsi="Times New Roman"/>
          <w:sz w:val="24"/>
          <w:szCs w:val="17"/>
        </w:rPr>
        <w:t>. 2004;2(suppl):163</w:t>
      </w:r>
      <w:r>
        <w:rPr>
          <w:rFonts w:ascii="Times New Roman" w:eastAsia="Times New Roman" w:hAnsi="Times New Roman"/>
          <w:sz w:val="24"/>
          <w:szCs w:val="17"/>
        </w:rPr>
        <w:t>-</w:t>
      </w:r>
      <w:r w:rsidRPr="00455C71">
        <w:rPr>
          <w:rFonts w:ascii="Times New Roman" w:eastAsia="Times New Roman" w:hAnsi="Times New Roman"/>
          <w:sz w:val="24"/>
          <w:szCs w:val="17"/>
        </w:rPr>
        <w:t>167.</w:t>
      </w:r>
    </w:p>
    <w:p w:rsidR="000A7035" w:rsidRPr="00052472"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17"/>
        </w:rPr>
      </w:pPr>
      <w:r w:rsidRPr="00052472">
        <w:rPr>
          <w:rFonts w:ascii="Times New Roman" w:eastAsia="Times New Roman" w:hAnsi="Times New Roman"/>
          <w:sz w:val="24"/>
          <w:szCs w:val="17"/>
        </w:rPr>
        <w:t xml:space="preserve">Kapoor RR, Flanagan SE, James C, Shield J, Ellard S, Hussain K. Hyperinsulinaemic hypoglycaemia. </w:t>
      </w:r>
      <w:r w:rsidRPr="00052472">
        <w:rPr>
          <w:rFonts w:ascii="Times New Roman" w:eastAsia="Times New Roman" w:hAnsi="Times New Roman"/>
          <w:i/>
          <w:iCs/>
          <w:sz w:val="24"/>
          <w:szCs w:val="17"/>
        </w:rPr>
        <w:t>Arch Dis Child</w:t>
      </w:r>
      <w:r w:rsidRPr="00052472">
        <w:rPr>
          <w:rFonts w:ascii="Times New Roman" w:eastAsia="Times New Roman" w:hAnsi="Times New Roman"/>
          <w:sz w:val="24"/>
          <w:szCs w:val="17"/>
        </w:rPr>
        <w:t>. 2009;94(6):450</w:t>
      </w:r>
      <w:r>
        <w:rPr>
          <w:rFonts w:ascii="Times New Roman" w:eastAsia="Times New Roman" w:hAnsi="Times New Roman"/>
          <w:sz w:val="24"/>
          <w:szCs w:val="17"/>
        </w:rPr>
        <w:t>-</w:t>
      </w:r>
      <w:r w:rsidRPr="00052472">
        <w:rPr>
          <w:rFonts w:ascii="Times New Roman" w:eastAsia="Times New Roman" w:hAnsi="Times New Roman"/>
          <w:sz w:val="24"/>
          <w:szCs w:val="17"/>
        </w:rPr>
        <w:t>457</w:t>
      </w:r>
      <w:r>
        <w:rPr>
          <w:rFonts w:ascii="Times New Roman" w:eastAsia="Times New Roman" w:hAnsi="Times New Roman"/>
          <w:sz w:val="24"/>
          <w:szCs w:val="17"/>
        </w:rPr>
        <w:t>.</w:t>
      </w:r>
    </w:p>
    <w:p w:rsidR="000A7035" w:rsidRPr="009C30D2" w:rsidRDefault="000A7035" w:rsidP="004A002D">
      <w:pPr>
        <w:widowControl w:val="0"/>
        <w:tabs>
          <w:tab w:val="right" w:pos="240"/>
          <w:tab w:val="right" w:pos="540"/>
          <w:tab w:val="left" w:pos="600"/>
          <w:tab w:val="right" w:pos="780"/>
        </w:tabs>
        <w:suppressAutoHyphens/>
        <w:autoSpaceDE w:val="0"/>
        <w:autoSpaceDN w:val="0"/>
        <w:adjustRightInd w:val="0"/>
        <w:spacing w:before="80" w:after="0" w:line="480" w:lineRule="auto"/>
        <w:textAlignment w:val="center"/>
        <w:rPr>
          <w:rFonts w:ascii="Times New Roman" w:eastAsia="Times New Roman" w:hAnsi="Times New Roman"/>
          <w:color w:val="000000"/>
          <w:sz w:val="24"/>
          <w:szCs w:val="24"/>
        </w:rPr>
      </w:pPr>
      <w:r w:rsidRPr="001354C7">
        <w:rPr>
          <w:rFonts w:ascii="Times New Roman" w:eastAsia="Times New Roman" w:hAnsi="Times New Roman"/>
          <w:color w:val="000000"/>
          <w:sz w:val="24"/>
          <w:szCs w:val="24"/>
        </w:rPr>
        <w:t xml:space="preserve">Lam JR, Schneider JL, Zhao W, Corley DA. Proton pump inhibitor and histamine 2 receptor antagonist use and vitamin B12 deficiency. </w:t>
      </w:r>
      <w:r w:rsidRPr="000519EB">
        <w:rPr>
          <w:rFonts w:ascii="Times New Roman" w:eastAsia="Times New Roman" w:hAnsi="Times New Roman"/>
          <w:i/>
          <w:color w:val="000000"/>
          <w:sz w:val="24"/>
          <w:szCs w:val="24"/>
        </w:rPr>
        <w:t>JAMA</w:t>
      </w:r>
      <w:r w:rsidRPr="001354C7">
        <w:rPr>
          <w:rFonts w:ascii="Times New Roman" w:eastAsia="Times New Roman" w:hAnsi="Times New Roman"/>
          <w:color w:val="000000"/>
          <w:sz w:val="24"/>
          <w:szCs w:val="24"/>
        </w:rPr>
        <w:t>. 2013;310(22):2435-2422.</w:t>
      </w:r>
    </w:p>
    <w:p w:rsidR="000A7035" w:rsidRDefault="000A7035" w:rsidP="004A002D">
      <w:pPr>
        <w:spacing w:line="480" w:lineRule="auto"/>
        <w:rPr>
          <w:rFonts w:ascii="Times New Roman" w:hAnsi="Times New Roman"/>
          <w:sz w:val="24"/>
        </w:rPr>
      </w:pPr>
      <w:r w:rsidRPr="00D93B77">
        <w:rPr>
          <w:rFonts w:ascii="Times New Roman" w:hAnsi="Times New Roman"/>
          <w:sz w:val="24"/>
        </w:rPr>
        <w:t>Lando A, Klamer A, Jonsbo F, Weiss J, Greisen G.</w:t>
      </w:r>
      <w:r w:rsidRPr="00D93B77">
        <w:t xml:space="preserve"> </w:t>
      </w:r>
      <w:r w:rsidRPr="00D93B77">
        <w:rPr>
          <w:rFonts w:ascii="Times New Roman" w:hAnsi="Times New Roman"/>
          <w:sz w:val="24"/>
        </w:rPr>
        <w:t>Doxapram and developmental delay at 12 months in children born extremely preterm.</w:t>
      </w:r>
      <w:r>
        <w:rPr>
          <w:rFonts w:ascii="Times New Roman" w:hAnsi="Times New Roman"/>
          <w:sz w:val="24"/>
        </w:rPr>
        <w:t xml:space="preserve"> </w:t>
      </w:r>
      <w:r w:rsidRPr="00AD4783">
        <w:rPr>
          <w:rFonts w:ascii="Times New Roman" w:hAnsi="Times New Roman"/>
          <w:i/>
          <w:sz w:val="24"/>
        </w:rPr>
        <w:t>Acta Paediatr</w:t>
      </w:r>
      <w:r w:rsidRPr="00D93B77">
        <w:rPr>
          <w:rFonts w:ascii="Times New Roman" w:hAnsi="Times New Roman"/>
          <w:sz w:val="24"/>
        </w:rPr>
        <w:t>. 2005;94(11):1680-</w:t>
      </w:r>
      <w:r>
        <w:rPr>
          <w:rFonts w:ascii="Times New Roman" w:hAnsi="Times New Roman"/>
          <w:sz w:val="24"/>
        </w:rPr>
        <w:t>168</w:t>
      </w:r>
      <w:r w:rsidRPr="00D93B77">
        <w:rPr>
          <w:rFonts w:ascii="Times New Roman" w:hAnsi="Times New Roman"/>
          <w:sz w:val="24"/>
        </w:rPr>
        <w:t>1.</w:t>
      </w:r>
    </w:p>
    <w:p w:rsidR="000A7035"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hAnsi="Times New Roman"/>
          <w:sz w:val="24"/>
          <w:szCs w:val="24"/>
        </w:rPr>
      </w:pPr>
      <w:r w:rsidRPr="005E6D1A">
        <w:rPr>
          <w:rFonts w:ascii="Times New Roman" w:hAnsi="Times New Roman"/>
          <w:sz w:val="24"/>
          <w:szCs w:val="24"/>
        </w:rPr>
        <w:t xml:space="preserve">Leikin JB, Mackendrick WP, Maloney GE, et al. Use of clonidine in the prevention and management of neonatal abstinence syndrome. </w:t>
      </w:r>
      <w:r w:rsidRPr="000519EB">
        <w:rPr>
          <w:rFonts w:ascii="Times New Roman" w:hAnsi="Times New Roman"/>
          <w:i/>
          <w:sz w:val="24"/>
          <w:szCs w:val="24"/>
        </w:rPr>
        <w:t>Clin Toxicol (Phila)</w:t>
      </w:r>
      <w:r w:rsidRPr="005E6D1A">
        <w:rPr>
          <w:rFonts w:ascii="Times New Roman" w:hAnsi="Times New Roman"/>
          <w:sz w:val="24"/>
          <w:szCs w:val="24"/>
        </w:rPr>
        <w:t>. 2009;47(6):551</w:t>
      </w:r>
      <w:r>
        <w:rPr>
          <w:rFonts w:ascii="Times New Roman" w:hAnsi="Times New Roman"/>
          <w:sz w:val="24"/>
          <w:szCs w:val="24"/>
        </w:rPr>
        <w:t>-</w:t>
      </w:r>
      <w:r w:rsidRPr="005E6D1A">
        <w:rPr>
          <w:rFonts w:ascii="Times New Roman" w:hAnsi="Times New Roman"/>
          <w:sz w:val="24"/>
          <w:szCs w:val="24"/>
        </w:rPr>
        <w:t>555.</w:t>
      </w:r>
    </w:p>
    <w:p w:rsidR="000A7035"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hAnsi="Times New Roman"/>
          <w:sz w:val="24"/>
          <w:szCs w:val="24"/>
        </w:rPr>
      </w:pPr>
      <w:r w:rsidRPr="009C30D2">
        <w:rPr>
          <w:rFonts w:ascii="Times New Roman" w:hAnsi="Times New Roman"/>
          <w:sz w:val="24"/>
          <w:szCs w:val="24"/>
        </w:rPr>
        <w:t>Lexi-Comp Online</w:t>
      </w:r>
      <w:r>
        <w:rPr>
          <w:rFonts w:ascii="Times New Roman" w:hAnsi="Times New Roman"/>
          <w:sz w:val="24"/>
          <w:szCs w:val="24"/>
        </w:rPr>
        <w:t>:</w:t>
      </w:r>
      <w:r w:rsidRPr="009C30D2">
        <w:rPr>
          <w:rFonts w:ascii="Times New Roman" w:hAnsi="Times New Roman"/>
          <w:sz w:val="24"/>
          <w:szCs w:val="24"/>
        </w:rPr>
        <w:t xml:space="preserve"> </w:t>
      </w:r>
      <w:r w:rsidRPr="000519EB">
        <w:rPr>
          <w:rFonts w:ascii="Times New Roman" w:hAnsi="Times New Roman"/>
          <w:i/>
          <w:sz w:val="24"/>
          <w:szCs w:val="24"/>
        </w:rPr>
        <w:t>Pediatric &amp; Neonatal Lexi-Drugs Online</w:t>
      </w:r>
      <w:r>
        <w:rPr>
          <w:rFonts w:ascii="Times New Roman" w:hAnsi="Times New Roman"/>
          <w:sz w:val="24"/>
          <w:szCs w:val="24"/>
        </w:rPr>
        <w:t>.</w:t>
      </w:r>
      <w:r w:rsidRPr="009C30D2">
        <w:rPr>
          <w:rFonts w:ascii="Times New Roman" w:hAnsi="Times New Roman"/>
          <w:sz w:val="24"/>
          <w:szCs w:val="24"/>
        </w:rPr>
        <w:t xml:space="preserve"> Hudson, O</w:t>
      </w:r>
      <w:r>
        <w:rPr>
          <w:rFonts w:ascii="Times New Roman" w:hAnsi="Times New Roman"/>
          <w:sz w:val="24"/>
          <w:szCs w:val="24"/>
        </w:rPr>
        <w:t>H</w:t>
      </w:r>
      <w:r w:rsidRPr="009C30D2">
        <w:rPr>
          <w:rFonts w:ascii="Times New Roman" w:hAnsi="Times New Roman"/>
          <w:sz w:val="24"/>
          <w:szCs w:val="24"/>
        </w:rPr>
        <w:t xml:space="preserve">: Lexi-Comp, Inc.; </w:t>
      </w:r>
      <w:r w:rsidRPr="009C30D2">
        <w:rPr>
          <w:rFonts w:ascii="Times New Roman" w:hAnsi="Times New Roman"/>
          <w:sz w:val="24"/>
          <w:szCs w:val="24"/>
        </w:rPr>
        <w:lastRenderedPageBreak/>
        <w:t>2017.</w:t>
      </w:r>
    </w:p>
    <w:p w:rsidR="000A7035" w:rsidRPr="00D93B77" w:rsidRDefault="000A7035" w:rsidP="004A002D">
      <w:pPr>
        <w:spacing w:line="480" w:lineRule="auto"/>
        <w:rPr>
          <w:rFonts w:ascii="Times New Roman" w:hAnsi="Times New Roman"/>
          <w:sz w:val="24"/>
        </w:rPr>
      </w:pPr>
      <w:proofErr w:type="spellStart"/>
      <w:r w:rsidRPr="00D93B77">
        <w:rPr>
          <w:rFonts w:ascii="Times New Roman" w:hAnsi="Times New Roman"/>
          <w:sz w:val="24"/>
        </w:rPr>
        <w:t>Meißner</w:t>
      </w:r>
      <w:proofErr w:type="spellEnd"/>
      <w:r w:rsidRPr="00D93B77">
        <w:rPr>
          <w:rFonts w:ascii="Times New Roman" w:hAnsi="Times New Roman"/>
          <w:sz w:val="24"/>
        </w:rPr>
        <w:t xml:space="preserve"> U, </w:t>
      </w:r>
      <w:proofErr w:type="spellStart"/>
      <w:r w:rsidRPr="00D93B77">
        <w:rPr>
          <w:rFonts w:ascii="Times New Roman" w:hAnsi="Times New Roman"/>
          <w:sz w:val="24"/>
        </w:rPr>
        <w:t>Chakrabarty</w:t>
      </w:r>
      <w:proofErr w:type="spellEnd"/>
      <w:r w:rsidRPr="00D93B77">
        <w:rPr>
          <w:rFonts w:ascii="Times New Roman" w:hAnsi="Times New Roman"/>
          <w:sz w:val="24"/>
        </w:rPr>
        <w:t xml:space="preserve"> R, </w:t>
      </w:r>
      <w:proofErr w:type="spellStart"/>
      <w:r w:rsidRPr="00D93B77">
        <w:rPr>
          <w:rFonts w:ascii="Times New Roman" w:hAnsi="Times New Roman"/>
          <w:sz w:val="24"/>
        </w:rPr>
        <w:t>Topf</w:t>
      </w:r>
      <w:proofErr w:type="spellEnd"/>
      <w:r w:rsidRPr="00D93B77">
        <w:rPr>
          <w:rFonts w:ascii="Times New Roman" w:hAnsi="Times New Roman"/>
          <w:sz w:val="24"/>
        </w:rPr>
        <w:t xml:space="preserve"> HG, Rascher W, Schroth M.</w:t>
      </w:r>
      <w:r>
        <w:rPr>
          <w:rFonts w:ascii="Times New Roman" w:hAnsi="Times New Roman"/>
          <w:sz w:val="24"/>
        </w:rPr>
        <w:t xml:space="preserve"> </w:t>
      </w:r>
      <w:r w:rsidRPr="00D93B77">
        <w:rPr>
          <w:rFonts w:ascii="Times New Roman" w:hAnsi="Times New Roman"/>
          <w:sz w:val="24"/>
        </w:rPr>
        <w:t xml:space="preserve">Improved closure of patent ductus arteriosus with high doses of ibuprofen. </w:t>
      </w:r>
      <w:r w:rsidRPr="00AD4783">
        <w:rPr>
          <w:rFonts w:ascii="Times New Roman" w:hAnsi="Times New Roman"/>
          <w:i/>
          <w:sz w:val="24"/>
        </w:rPr>
        <w:t>Pediatr Cardiol</w:t>
      </w:r>
      <w:r w:rsidRPr="00D93B77">
        <w:rPr>
          <w:rFonts w:ascii="Times New Roman" w:hAnsi="Times New Roman"/>
          <w:sz w:val="24"/>
        </w:rPr>
        <w:t>. 2012;33(4):586-</w:t>
      </w:r>
      <w:r>
        <w:rPr>
          <w:rFonts w:ascii="Times New Roman" w:hAnsi="Times New Roman"/>
          <w:sz w:val="24"/>
        </w:rPr>
        <w:t>5</w:t>
      </w:r>
      <w:r w:rsidRPr="00D93B77">
        <w:rPr>
          <w:rFonts w:ascii="Times New Roman" w:hAnsi="Times New Roman"/>
          <w:sz w:val="24"/>
        </w:rPr>
        <w:t xml:space="preserve">90. </w:t>
      </w:r>
    </w:p>
    <w:p w:rsidR="000A7035" w:rsidRPr="00052472"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17"/>
        </w:rPr>
      </w:pPr>
      <w:r w:rsidRPr="00052472">
        <w:rPr>
          <w:rFonts w:ascii="Times New Roman" w:eastAsia="Times New Roman" w:hAnsi="Times New Roman"/>
          <w:sz w:val="24"/>
          <w:szCs w:val="17"/>
        </w:rPr>
        <w:t>MICROMEDEX 2.0, Thomson Reuters Healthcare, 2012.</w:t>
      </w:r>
    </w:p>
    <w:p w:rsidR="000A7035"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cs="TimesNewRomanPSMT"/>
          <w:sz w:val="24"/>
          <w:szCs w:val="17"/>
        </w:rPr>
      </w:pPr>
      <w:r w:rsidRPr="00BD25E8">
        <w:rPr>
          <w:rFonts w:ascii="Times New Roman" w:eastAsia="Times New Roman" w:hAnsi="Times New Roman" w:cs="TimesNewRomanPSMT"/>
          <w:sz w:val="24"/>
          <w:szCs w:val="17"/>
        </w:rPr>
        <w:t xml:space="preserve">Monagle P, Chalmers E, Chan A, et al. Antithrombotic therapy in neonates and children: American College of Chest Physicians Evidence-Based Clinical Practice Guidelines (8th Edition). </w:t>
      </w:r>
      <w:r w:rsidRPr="000519EB">
        <w:rPr>
          <w:rFonts w:ascii="Times New Roman" w:eastAsia="Times New Roman" w:hAnsi="Times New Roman" w:cs="TimesNewRomanPSMT"/>
          <w:i/>
          <w:sz w:val="24"/>
          <w:szCs w:val="17"/>
        </w:rPr>
        <w:t>Chest</w:t>
      </w:r>
      <w:r w:rsidRPr="00BD25E8">
        <w:rPr>
          <w:rFonts w:ascii="Times New Roman" w:eastAsia="Times New Roman" w:hAnsi="Times New Roman" w:cs="TimesNewRomanPSMT"/>
          <w:sz w:val="24"/>
          <w:szCs w:val="17"/>
        </w:rPr>
        <w:t>. 2008;133(suppl 6):S887</w:t>
      </w:r>
      <w:r>
        <w:rPr>
          <w:rFonts w:ascii="Times New Roman" w:eastAsia="Times New Roman" w:hAnsi="Times New Roman" w:cs="TimesNewRomanPSMT"/>
          <w:sz w:val="24"/>
          <w:szCs w:val="17"/>
        </w:rPr>
        <w:t>-</w:t>
      </w:r>
      <w:r w:rsidRPr="00BD25E8">
        <w:rPr>
          <w:rFonts w:ascii="Times New Roman" w:eastAsia="Times New Roman" w:hAnsi="Times New Roman" w:cs="TimesNewRomanPSMT"/>
          <w:sz w:val="24"/>
          <w:szCs w:val="17"/>
        </w:rPr>
        <w:t>S968.</w:t>
      </w:r>
    </w:p>
    <w:p w:rsidR="000A7035" w:rsidRPr="00BD25E8"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cs="TimesNewRomanPSMT"/>
          <w:sz w:val="24"/>
          <w:szCs w:val="17"/>
        </w:rPr>
      </w:pPr>
      <w:r w:rsidRPr="00125BF1">
        <w:rPr>
          <w:rFonts w:ascii="Times New Roman" w:eastAsia="Times New Roman" w:hAnsi="Times New Roman" w:cs="TimesNewRomanPSMT"/>
          <w:sz w:val="24"/>
          <w:szCs w:val="17"/>
        </w:rPr>
        <w:t>Monagle P, Chan A</w:t>
      </w:r>
      <w:r>
        <w:rPr>
          <w:rFonts w:ascii="Times New Roman" w:eastAsia="Times New Roman" w:hAnsi="Times New Roman" w:cs="TimesNewRomanPSMT"/>
          <w:sz w:val="24"/>
          <w:szCs w:val="17"/>
        </w:rPr>
        <w:t>KC,</w:t>
      </w:r>
      <w:r w:rsidRPr="00125BF1">
        <w:rPr>
          <w:rFonts w:ascii="Times New Roman" w:eastAsia="Times New Roman" w:hAnsi="Times New Roman" w:cs="TimesNewRomanPSMT"/>
          <w:sz w:val="24"/>
          <w:szCs w:val="17"/>
        </w:rPr>
        <w:t xml:space="preserve"> </w:t>
      </w:r>
      <w:r>
        <w:rPr>
          <w:rFonts w:ascii="Times New Roman" w:eastAsia="Times New Roman" w:hAnsi="Times New Roman" w:cs="TimesNewRomanPSMT"/>
          <w:sz w:val="24"/>
          <w:szCs w:val="17"/>
        </w:rPr>
        <w:t>Goldenberg NA</w:t>
      </w:r>
      <w:r w:rsidRPr="00125BF1">
        <w:rPr>
          <w:rFonts w:ascii="Times New Roman" w:eastAsia="Times New Roman" w:hAnsi="Times New Roman" w:cs="TimesNewRomanPSMT"/>
          <w:sz w:val="24"/>
          <w:szCs w:val="17"/>
        </w:rPr>
        <w:t>, et al. Antithrombotic therapy in neonates and children: American College of Chest Physicians Evidence-Based Clinical Practice Guidelines (</w:t>
      </w:r>
      <w:r>
        <w:rPr>
          <w:rFonts w:ascii="Times New Roman" w:eastAsia="Times New Roman" w:hAnsi="Times New Roman" w:cs="TimesNewRomanPSMT"/>
          <w:sz w:val="24"/>
          <w:szCs w:val="17"/>
        </w:rPr>
        <w:t>9</w:t>
      </w:r>
      <w:r w:rsidRPr="00125BF1">
        <w:rPr>
          <w:rFonts w:ascii="Times New Roman" w:eastAsia="Times New Roman" w:hAnsi="Times New Roman" w:cs="TimesNewRomanPSMT"/>
          <w:sz w:val="24"/>
          <w:szCs w:val="17"/>
        </w:rPr>
        <w:t xml:space="preserve">th Edition). </w:t>
      </w:r>
      <w:r w:rsidRPr="00125BF1">
        <w:rPr>
          <w:rFonts w:ascii="Times New Roman" w:eastAsia="Times New Roman" w:hAnsi="Times New Roman" w:cs="TimesNewRomanPS-ItalicMT"/>
          <w:i/>
          <w:iCs/>
          <w:sz w:val="24"/>
          <w:szCs w:val="17"/>
        </w:rPr>
        <w:t>Chest.</w:t>
      </w:r>
      <w:r>
        <w:rPr>
          <w:rFonts w:ascii="Times New Roman" w:eastAsia="Times New Roman" w:hAnsi="Times New Roman" w:cs="TimesNewRomanPSMT"/>
          <w:sz w:val="24"/>
          <w:szCs w:val="17"/>
        </w:rPr>
        <w:t xml:space="preserve"> 2012</w:t>
      </w:r>
      <w:r w:rsidRPr="00125BF1">
        <w:rPr>
          <w:rFonts w:ascii="Times New Roman" w:eastAsia="Times New Roman" w:hAnsi="Times New Roman" w:cs="TimesNewRomanPSMT"/>
          <w:sz w:val="24"/>
          <w:szCs w:val="17"/>
        </w:rPr>
        <w:t>;</w:t>
      </w:r>
      <w:r>
        <w:rPr>
          <w:rFonts w:ascii="Times New Roman" w:eastAsia="Times New Roman" w:hAnsi="Times New Roman" w:cs="TimesNewRomanPSMT"/>
          <w:sz w:val="24"/>
          <w:szCs w:val="17"/>
        </w:rPr>
        <w:t>141</w:t>
      </w:r>
      <w:r w:rsidRPr="00BD25E8">
        <w:t xml:space="preserve"> </w:t>
      </w:r>
      <w:r w:rsidRPr="00BD25E8">
        <w:rPr>
          <w:rFonts w:ascii="Times New Roman" w:eastAsia="Times New Roman" w:hAnsi="Times New Roman" w:cs="TimesNewRomanPSMT"/>
          <w:sz w:val="24"/>
          <w:szCs w:val="17"/>
        </w:rPr>
        <w:t xml:space="preserve">(2 Suppl):e737S-e801S. </w:t>
      </w:r>
    </w:p>
    <w:p w:rsidR="000A7035"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17"/>
        </w:rPr>
      </w:pPr>
      <w:r w:rsidRPr="00052472">
        <w:rPr>
          <w:rFonts w:ascii="Times New Roman" w:eastAsia="Times New Roman" w:hAnsi="Times New Roman"/>
          <w:sz w:val="24"/>
          <w:szCs w:val="17"/>
        </w:rPr>
        <w:t xml:space="preserve">Orenstein SR, Hassall E, Furmaga-Jablonska W, Atkinson S, Raanan M. Multicenter, double-blind, randomized, placebo-controlled trial assessing the efficacy and safety of proton pump inhibitor lansoprazole in infants with symptoms of gastroesophageal reflux disease. </w:t>
      </w:r>
      <w:r w:rsidRPr="00052472">
        <w:rPr>
          <w:rFonts w:ascii="Times New Roman" w:eastAsia="Times New Roman" w:hAnsi="Times New Roman"/>
          <w:i/>
          <w:iCs/>
          <w:sz w:val="24"/>
          <w:szCs w:val="17"/>
        </w:rPr>
        <w:t>J Pediatr</w:t>
      </w:r>
      <w:r w:rsidRPr="00052472">
        <w:rPr>
          <w:rFonts w:ascii="Times New Roman" w:eastAsia="Times New Roman" w:hAnsi="Times New Roman"/>
          <w:sz w:val="24"/>
          <w:szCs w:val="17"/>
        </w:rPr>
        <w:t>. 2009;154(4):514</w:t>
      </w:r>
      <w:r>
        <w:rPr>
          <w:rFonts w:ascii="Times New Roman" w:eastAsia="Times New Roman" w:hAnsi="Times New Roman"/>
          <w:sz w:val="24"/>
          <w:szCs w:val="17"/>
        </w:rPr>
        <w:t>-</w:t>
      </w:r>
      <w:r w:rsidRPr="00052472">
        <w:rPr>
          <w:rFonts w:ascii="Times New Roman" w:eastAsia="Times New Roman" w:hAnsi="Times New Roman"/>
          <w:sz w:val="24"/>
          <w:szCs w:val="17"/>
        </w:rPr>
        <w:t>520.e4.</w:t>
      </w:r>
    </w:p>
    <w:p w:rsidR="000A7035" w:rsidRPr="00052472"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17"/>
        </w:rPr>
      </w:pPr>
      <w:r w:rsidRPr="00052472">
        <w:rPr>
          <w:rFonts w:ascii="Times New Roman" w:eastAsia="Times New Roman" w:hAnsi="Times New Roman"/>
          <w:sz w:val="24"/>
          <w:szCs w:val="17"/>
        </w:rPr>
        <w:t xml:space="preserve">Sáez-Llorens X, Macias M, Maiya P, et al. Pharmacokinetics and safety of caspofungin in neonates and infants less than 3 months of age. </w:t>
      </w:r>
      <w:r w:rsidRPr="00052472">
        <w:rPr>
          <w:rFonts w:ascii="Times New Roman" w:eastAsia="Times New Roman" w:hAnsi="Times New Roman"/>
          <w:i/>
          <w:iCs/>
          <w:sz w:val="24"/>
          <w:szCs w:val="17"/>
        </w:rPr>
        <w:t>Antimicrob Agents Chemother.</w:t>
      </w:r>
      <w:r w:rsidRPr="00052472">
        <w:rPr>
          <w:rFonts w:ascii="Times New Roman" w:eastAsia="Times New Roman" w:hAnsi="Times New Roman"/>
          <w:sz w:val="24"/>
          <w:szCs w:val="17"/>
        </w:rPr>
        <w:t xml:space="preserve"> 2009:53(3):869</w:t>
      </w:r>
      <w:r>
        <w:rPr>
          <w:rFonts w:ascii="Times New Roman" w:eastAsia="Times New Roman" w:hAnsi="Times New Roman"/>
          <w:sz w:val="24"/>
          <w:szCs w:val="17"/>
        </w:rPr>
        <w:t>-</w:t>
      </w:r>
      <w:r w:rsidRPr="00052472">
        <w:rPr>
          <w:rFonts w:ascii="Times New Roman" w:eastAsia="Times New Roman" w:hAnsi="Times New Roman"/>
          <w:sz w:val="24"/>
          <w:szCs w:val="17"/>
        </w:rPr>
        <w:t>875.</w:t>
      </w:r>
    </w:p>
    <w:p w:rsidR="000A7035" w:rsidRPr="00052472"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17"/>
        </w:rPr>
      </w:pPr>
      <w:r w:rsidRPr="00052472">
        <w:rPr>
          <w:rFonts w:ascii="Times New Roman" w:eastAsia="Times New Roman" w:hAnsi="Times New Roman"/>
          <w:sz w:val="24"/>
          <w:szCs w:val="17"/>
        </w:rPr>
        <w:t xml:space="preserve">Springer M. Safety and pharmacodynamics of lansoprazole in patients with gastroesophageal reflux disease aged &lt;1 year. </w:t>
      </w:r>
      <w:r w:rsidRPr="00052472">
        <w:rPr>
          <w:rFonts w:ascii="Times New Roman" w:eastAsia="Times New Roman" w:hAnsi="Times New Roman"/>
          <w:i/>
          <w:iCs/>
          <w:sz w:val="24"/>
          <w:szCs w:val="17"/>
        </w:rPr>
        <w:t>Paediatr Drugs</w:t>
      </w:r>
      <w:r w:rsidRPr="00052472">
        <w:rPr>
          <w:rFonts w:ascii="Times New Roman" w:eastAsia="Times New Roman" w:hAnsi="Times New Roman"/>
          <w:sz w:val="24"/>
          <w:szCs w:val="17"/>
        </w:rPr>
        <w:t>. 2008;10(4):255</w:t>
      </w:r>
      <w:r>
        <w:rPr>
          <w:rFonts w:ascii="Times New Roman" w:eastAsia="Times New Roman" w:hAnsi="Times New Roman"/>
          <w:sz w:val="24"/>
          <w:szCs w:val="17"/>
        </w:rPr>
        <w:t>-</w:t>
      </w:r>
      <w:r w:rsidRPr="00052472">
        <w:rPr>
          <w:rFonts w:ascii="Times New Roman" w:eastAsia="Times New Roman" w:hAnsi="Times New Roman"/>
          <w:sz w:val="24"/>
          <w:szCs w:val="17"/>
        </w:rPr>
        <w:t>263.</w:t>
      </w:r>
    </w:p>
    <w:p w:rsidR="000A7035" w:rsidRDefault="000A7035" w:rsidP="004A002D">
      <w:pPr>
        <w:spacing w:line="480" w:lineRule="auto"/>
        <w:rPr>
          <w:rFonts w:ascii="Times New Roman" w:hAnsi="Times New Roman"/>
          <w:sz w:val="24"/>
        </w:rPr>
      </w:pPr>
      <w:r w:rsidRPr="00D93B77">
        <w:rPr>
          <w:rFonts w:ascii="Times New Roman" w:hAnsi="Times New Roman"/>
          <w:sz w:val="24"/>
        </w:rPr>
        <w:t>Sreenan C, Etches PC, Demianczuk N, Robertson CM.</w:t>
      </w:r>
      <w:r>
        <w:rPr>
          <w:rFonts w:ascii="Times New Roman" w:hAnsi="Times New Roman"/>
          <w:sz w:val="24"/>
        </w:rPr>
        <w:t xml:space="preserve"> </w:t>
      </w:r>
      <w:r w:rsidRPr="00D93B77">
        <w:rPr>
          <w:rFonts w:ascii="Times New Roman" w:hAnsi="Times New Roman"/>
          <w:sz w:val="24"/>
        </w:rPr>
        <w:t>Isolated mental developmental delay in very low birth weight infants: association with prolonged doxapram therapy for apnea.</w:t>
      </w:r>
      <w:r>
        <w:rPr>
          <w:rFonts w:ascii="Times New Roman" w:hAnsi="Times New Roman"/>
          <w:sz w:val="24"/>
        </w:rPr>
        <w:t xml:space="preserve"> </w:t>
      </w:r>
      <w:r w:rsidRPr="00AD4783">
        <w:rPr>
          <w:rFonts w:ascii="Times New Roman" w:hAnsi="Times New Roman"/>
          <w:i/>
          <w:sz w:val="24"/>
        </w:rPr>
        <w:t>J Pediatr</w:t>
      </w:r>
      <w:r w:rsidRPr="00D93B77">
        <w:rPr>
          <w:rFonts w:ascii="Times New Roman" w:hAnsi="Times New Roman"/>
          <w:sz w:val="24"/>
        </w:rPr>
        <w:t>. 2001;139(6):832-</w:t>
      </w:r>
      <w:r>
        <w:rPr>
          <w:rFonts w:ascii="Times New Roman" w:hAnsi="Times New Roman"/>
          <w:sz w:val="24"/>
        </w:rPr>
        <w:t>83</w:t>
      </w:r>
      <w:r w:rsidRPr="00D93B77">
        <w:rPr>
          <w:rFonts w:ascii="Times New Roman" w:hAnsi="Times New Roman"/>
          <w:sz w:val="24"/>
        </w:rPr>
        <w:t>7</w:t>
      </w:r>
      <w:r>
        <w:rPr>
          <w:rFonts w:ascii="Times New Roman" w:hAnsi="Times New Roman"/>
          <w:sz w:val="24"/>
        </w:rPr>
        <w:t>.</w:t>
      </w:r>
    </w:p>
    <w:p w:rsidR="000A7035" w:rsidRPr="009C30D2"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hAnsi="Times New Roman"/>
          <w:sz w:val="24"/>
          <w:szCs w:val="24"/>
        </w:rPr>
      </w:pPr>
      <w:r w:rsidRPr="00F552A5">
        <w:rPr>
          <w:rFonts w:ascii="Times New Roman" w:hAnsi="Times New Roman"/>
          <w:sz w:val="24"/>
          <w:szCs w:val="24"/>
        </w:rPr>
        <w:t>Vanden Hoek TL, Morrison LJ, Shuster M, et al</w:t>
      </w:r>
      <w:r>
        <w:rPr>
          <w:rFonts w:ascii="Times New Roman" w:hAnsi="Times New Roman"/>
          <w:sz w:val="24"/>
          <w:szCs w:val="24"/>
        </w:rPr>
        <w:t>.</w:t>
      </w:r>
      <w:r w:rsidRPr="00F552A5">
        <w:rPr>
          <w:rFonts w:ascii="Times New Roman" w:hAnsi="Times New Roman"/>
          <w:sz w:val="24"/>
          <w:szCs w:val="24"/>
        </w:rPr>
        <w:t xml:space="preserve"> Part 12: Cardiac arrest in special situations: </w:t>
      </w:r>
      <w:r w:rsidRPr="00F552A5">
        <w:rPr>
          <w:rFonts w:ascii="Times New Roman" w:hAnsi="Times New Roman"/>
          <w:sz w:val="24"/>
          <w:szCs w:val="24"/>
        </w:rPr>
        <w:lastRenderedPageBreak/>
        <w:t>2010 American Heart Association guidelines for cardiopulmonary resuscitation and emergency cardiovascular care</w:t>
      </w:r>
      <w:r>
        <w:rPr>
          <w:rFonts w:ascii="Times New Roman" w:hAnsi="Times New Roman"/>
          <w:sz w:val="24"/>
          <w:szCs w:val="24"/>
        </w:rPr>
        <w:t>.</w:t>
      </w:r>
      <w:r w:rsidRPr="00F552A5">
        <w:rPr>
          <w:rFonts w:ascii="Times New Roman" w:hAnsi="Times New Roman"/>
          <w:sz w:val="24"/>
          <w:szCs w:val="24"/>
        </w:rPr>
        <w:t xml:space="preserve"> </w:t>
      </w:r>
      <w:r w:rsidRPr="000519EB">
        <w:rPr>
          <w:rFonts w:ascii="Times New Roman" w:hAnsi="Times New Roman"/>
          <w:i/>
          <w:sz w:val="24"/>
          <w:szCs w:val="24"/>
        </w:rPr>
        <w:t>Circulation</w:t>
      </w:r>
      <w:r>
        <w:rPr>
          <w:rFonts w:ascii="Times New Roman" w:hAnsi="Times New Roman"/>
          <w:sz w:val="24"/>
          <w:szCs w:val="24"/>
        </w:rPr>
        <w:t>.</w:t>
      </w:r>
      <w:r w:rsidRPr="00F552A5">
        <w:rPr>
          <w:rFonts w:ascii="Times New Roman" w:hAnsi="Times New Roman"/>
          <w:sz w:val="24"/>
          <w:szCs w:val="24"/>
        </w:rPr>
        <w:t xml:space="preserve"> 2010</w:t>
      </w:r>
      <w:r>
        <w:rPr>
          <w:rFonts w:ascii="Times New Roman" w:hAnsi="Times New Roman"/>
          <w:sz w:val="24"/>
          <w:szCs w:val="24"/>
        </w:rPr>
        <w:t>;</w:t>
      </w:r>
      <w:r w:rsidRPr="00F552A5">
        <w:rPr>
          <w:rFonts w:ascii="Times New Roman" w:hAnsi="Times New Roman"/>
          <w:sz w:val="24"/>
          <w:szCs w:val="24"/>
        </w:rPr>
        <w:t>122(18 suppl 3):829-</w:t>
      </w:r>
      <w:r>
        <w:rPr>
          <w:rFonts w:ascii="Times New Roman" w:hAnsi="Times New Roman"/>
          <w:sz w:val="24"/>
          <w:szCs w:val="24"/>
        </w:rPr>
        <w:t>8</w:t>
      </w:r>
      <w:r w:rsidRPr="00F552A5">
        <w:rPr>
          <w:rFonts w:ascii="Times New Roman" w:hAnsi="Times New Roman"/>
          <w:sz w:val="24"/>
          <w:szCs w:val="24"/>
        </w:rPr>
        <w:t>61</w:t>
      </w:r>
      <w:r>
        <w:rPr>
          <w:rFonts w:ascii="Times New Roman" w:hAnsi="Times New Roman"/>
          <w:sz w:val="24"/>
          <w:szCs w:val="24"/>
        </w:rPr>
        <w:t>.</w:t>
      </w:r>
    </w:p>
    <w:p w:rsidR="000A7035" w:rsidRDefault="000A7035" w:rsidP="004A002D">
      <w:pPr>
        <w:spacing w:line="480" w:lineRule="auto"/>
        <w:rPr>
          <w:rFonts w:ascii="Times New Roman" w:hAnsi="Times New Roman"/>
          <w:sz w:val="24"/>
        </w:rPr>
      </w:pPr>
      <w:r w:rsidRPr="00D93B77">
        <w:rPr>
          <w:rFonts w:ascii="Times New Roman" w:hAnsi="Times New Roman"/>
          <w:sz w:val="24"/>
        </w:rPr>
        <w:t>Vanek VW,</w:t>
      </w:r>
      <w:r>
        <w:rPr>
          <w:rFonts w:ascii="Times New Roman" w:hAnsi="Times New Roman"/>
          <w:sz w:val="24"/>
        </w:rPr>
        <w:t xml:space="preserve"> Borum P, Buchman A, Fessler TA</w:t>
      </w:r>
      <w:r w:rsidRPr="00D93B77">
        <w:rPr>
          <w:rFonts w:ascii="Times New Roman" w:hAnsi="Times New Roman"/>
          <w:sz w:val="24"/>
        </w:rPr>
        <w:t>; Novel Nutrient Task Force, Parenteral Multi-Vitamin and Multi–Trace Element Working Group; American Society for Parenteral and Enteral Nutrition (A.S.P.E.N.) Board of Directors</w:t>
      </w:r>
      <w:r>
        <w:rPr>
          <w:rFonts w:ascii="Times New Roman" w:hAnsi="Times New Roman"/>
          <w:sz w:val="24"/>
        </w:rPr>
        <w:t>; et al</w:t>
      </w:r>
      <w:r w:rsidRPr="00D93B77">
        <w:rPr>
          <w:rFonts w:ascii="Times New Roman" w:hAnsi="Times New Roman"/>
          <w:sz w:val="24"/>
        </w:rPr>
        <w:t>.</w:t>
      </w:r>
      <w:r>
        <w:rPr>
          <w:rFonts w:ascii="Times New Roman" w:hAnsi="Times New Roman"/>
          <w:sz w:val="24"/>
        </w:rPr>
        <w:t xml:space="preserve"> </w:t>
      </w:r>
      <w:r w:rsidRPr="00D93B77">
        <w:rPr>
          <w:rFonts w:ascii="Times New Roman" w:hAnsi="Times New Roman"/>
          <w:sz w:val="24"/>
        </w:rPr>
        <w:t>A.S.P.E.N. position paper: recommendations for changes in commercially available parenteral multivitamin and multi-trace element products.</w:t>
      </w:r>
      <w:r>
        <w:rPr>
          <w:rFonts w:ascii="Times New Roman" w:hAnsi="Times New Roman"/>
          <w:sz w:val="24"/>
        </w:rPr>
        <w:t xml:space="preserve"> </w:t>
      </w:r>
      <w:r w:rsidRPr="00AD4783">
        <w:rPr>
          <w:rFonts w:ascii="Times New Roman" w:hAnsi="Times New Roman"/>
          <w:i/>
          <w:sz w:val="24"/>
        </w:rPr>
        <w:t>Nutr Clin Pract</w:t>
      </w:r>
      <w:r w:rsidRPr="00D93B77">
        <w:rPr>
          <w:rFonts w:ascii="Times New Roman" w:hAnsi="Times New Roman"/>
          <w:sz w:val="24"/>
        </w:rPr>
        <w:t>. 2012;27(4):440</w:t>
      </w:r>
      <w:r>
        <w:rPr>
          <w:rFonts w:ascii="Times New Roman" w:hAnsi="Times New Roman"/>
          <w:sz w:val="24"/>
        </w:rPr>
        <w:t>-491.</w:t>
      </w:r>
    </w:p>
    <w:p w:rsidR="000A7035" w:rsidRPr="002F3F11"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rPr>
          <w:rFonts w:ascii="Times New Roman" w:eastAsia="Times New Roman" w:hAnsi="Times New Roman"/>
          <w:sz w:val="24"/>
          <w:szCs w:val="17"/>
        </w:rPr>
      </w:pPr>
      <w:r w:rsidRPr="002F3F11">
        <w:rPr>
          <w:rFonts w:ascii="Times New Roman" w:eastAsia="Times New Roman" w:hAnsi="Times New Roman"/>
          <w:sz w:val="24"/>
          <w:szCs w:val="17"/>
        </w:rPr>
        <w:t xml:space="preserve">Wagner CL, Greer FR; American Academy of Pediatrics Section on Breastfeeding; American Academy of Pediatrics Committee on Nutrition. Prevention of rickets and vitamin D deficiency in infants, children and adolescents. </w:t>
      </w:r>
      <w:r w:rsidRPr="002F3F11">
        <w:rPr>
          <w:rFonts w:ascii="Times New Roman" w:eastAsia="Times New Roman" w:hAnsi="Times New Roman"/>
          <w:i/>
          <w:iCs/>
          <w:sz w:val="24"/>
          <w:szCs w:val="17"/>
        </w:rPr>
        <w:t>Pediatrics.</w:t>
      </w:r>
      <w:r w:rsidRPr="002F3F11">
        <w:rPr>
          <w:rFonts w:ascii="Times New Roman" w:eastAsia="Times New Roman" w:hAnsi="Times New Roman"/>
          <w:sz w:val="24"/>
          <w:szCs w:val="17"/>
        </w:rPr>
        <w:t xml:space="preserve"> 2008;122(5):1142</w:t>
      </w:r>
      <w:r>
        <w:rPr>
          <w:rFonts w:ascii="Times New Roman" w:eastAsia="Times New Roman" w:hAnsi="Times New Roman"/>
          <w:sz w:val="24"/>
          <w:szCs w:val="17"/>
        </w:rPr>
        <w:t>-</w:t>
      </w:r>
      <w:r w:rsidRPr="002F3F11">
        <w:rPr>
          <w:rFonts w:ascii="Times New Roman" w:eastAsia="Times New Roman" w:hAnsi="Times New Roman"/>
          <w:sz w:val="24"/>
          <w:szCs w:val="17"/>
        </w:rPr>
        <w:t>1152.</w:t>
      </w:r>
    </w:p>
    <w:p w:rsidR="0025181B" w:rsidRDefault="000A7035" w:rsidP="004A002D">
      <w:pPr>
        <w:widowControl w:val="0"/>
        <w:tabs>
          <w:tab w:val="right" w:pos="240"/>
          <w:tab w:val="right" w:pos="540"/>
          <w:tab w:val="left" w:pos="600"/>
          <w:tab w:val="right" w:pos="780"/>
        </w:tabs>
        <w:suppressAutoHyphens/>
        <w:autoSpaceDE w:val="0"/>
        <w:autoSpaceDN w:val="0"/>
        <w:adjustRightInd w:val="0"/>
        <w:spacing w:after="0" w:line="480" w:lineRule="auto"/>
        <w:textAlignment w:val="center"/>
      </w:pPr>
      <w:r w:rsidRPr="002F3F11">
        <w:rPr>
          <w:rFonts w:ascii="Times New Roman" w:eastAsia="Times New Roman" w:hAnsi="Times New Roman"/>
          <w:sz w:val="24"/>
          <w:szCs w:val="17"/>
        </w:rPr>
        <w:t xml:space="preserve">Zhang W, Kukulka M, Witt G, Sutkowski-Markmann D, North J, Atkinson S. Age-dependent pharmacokinetics of lansoprazole in neonates and infants. </w:t>
      </w:r>
      <w:r w:rsidRPr="002F3F11">
        <w:rPr>
          <w:rFonts w:ascii="Times New Roman" w:eastAsia="Times New Roman" w:hAnsi="Times New Roman"/>
          <w:i/>
          <w:iCs/>
          <w:sz w:val="24"/>
          <w:szCs w:val="17"/>
        </w:rPr>
        <w:t>Paediatr Drugs</w:t>
      </w:r>
      <w:r w:rsidRPr="002F3F11">
        <w:rPr>
          <w:rFonts w:ascii="Times New Roman" w:eastAsia="Times New Roman" w:hAnsi="Times New Roman"/>
          <w:sz w:val="24"/>
          <w:szCs w:val="17"/>
        </w:rPr>
        <w:t>. 2008;10(4):265</w:t>
      </w:r>
      <w:r>
        <w:rPr>
          <w:rFonts w:ascii="Times New Roman" w:eastAsia="Times New Roman" w:hAnsi="Times New Roman"/>
          <w:sz w:val="24"/>
          <w:szCs w:val="17"/>
        </w:rPr>
        <w:t>-</w:t>
      </w:r>
      <w:r w:rsidRPr="002F3F11">
        <w:rPr>
          <w:rFonts w:ascii="Times New Roman" w:eastAsia="Times New Roman" w:hAnsi="Times New Roman"/>
          <w:sz w:val="24"/>
          <w:szCs w:val="17"/>
        </w:rPr>
        <w:t>274.</w:t>
      </w:r>
      <w:bookmarkStart w:id="0" w:name="_GoBack"/>
      <w:bookmarkEnd w:id="0"/>
    </w:p>
    <w:sectPr w:rsidR="002518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charset w:val="4D"/>
    <w:family w:val="auto"/>
    <w:pitch w:val="default"/>
    <w:sig w:usb0="00000003" w:usb1="00000000" w:usb2="00000000" w:usb3="00000000" w:csb0="00000001" w:csb1="00000000"/>
  </w:font>
  <w:font w:name="TimesNewRomanPSMT">
    <w:altName w:val="Times New Roman"/>
    <w:charset w:val="4D"/>
    <w:family w:val="auto"/>
    <w:pitch w:val="default"/>
    <w:sig w:usb0="00000003" w:usb1="00000000" w:usb2="00000000" w:usb3="00000000" w:csb0="00000001" w:csb1="00000000"/>
  </w:font>
  <w:font w:name="TimesNewRomanPS-ItalicMT">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trackedChanges"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035"/>
    <w:rsid w:val="00007D37"/>
    <w:rsid w:val="000A7035"/>
    <w:rsid w:val="0025181B"/>
    <w:rsid w:val="00255450"/>
    <w:rsid w:val="004A002D"/>
    <w:rsid w:val="0093265C"/>
    <w:rsid w:val="00B82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0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26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65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0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26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65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andrabi</dc:creator>
  <cp:lastModifiedBy>tania andrabi</cp:lastModifiedBy>
  <cp:revision>4</cp:revision>
  <dcterms:created xsi:type="dcterms:W3CDTF">2019-07-31T14:01:00Z</dcterms:created>
  <dcterms:modified xsi:type="dcterms:W3CDTF">2019-10-17T09:47:00Z</dcterms:modified>
</cp:coreProperties>
</file>