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A6" w:rsidRDefault="00A666A6" w:rsidP="00E40F8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D0B2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99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6D0B2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Hyperbilirubinemia: Unconjugated</w:t>
      </w:r>
      <w:r w:rsidRPr="00A666A6" w:rsidDel="00A666A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E40F80" w:rsidRPr="00DE20C1" w:rsidRDefault="00E40F80" w:rsidP="00E40F8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DE20C1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E40F80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DE20C1">
        <w:rPr>
          <w:rFonts w:ascii="Times New Roman" w:eastAsia="Times New Roman" w:hAnsi="Times New Roman"/>
          <w:sz w:val="24"/>
          <w:szCs w:val="24"/>
        </w:rPr>
        <w:t>American Academy of Pediatrics.</w:t>
      </w:r>
      <w:proofErr w:type="gramEnd"/>
      <w:r w:rsidRPr="00DE20C1">
        <w:rPr>
          <w:rFonts w:ascii="Times New Roman" w:eastAsia="Times New Roman" w:hAnsi="Times New Roman"/>
          <w:sz w:val="24"/>
          <w:szCs w:val="24"/>
        </w:rPr>
        <w:t xml:space="preserve"> Clinical practice guideline: management of hyperbilirubinemia in the newborn infant 35 weeks or more weeks of gestation.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Pediatrics.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2004;114:297-316.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Arnold C, Pedroza C, Tyson JE. Phototherapy in ELBW newborns: does it work? Is it safe? The evidence from randomized clinical trials.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Semin Perinatol.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2014;38:452-464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Bhutani VK, Poland R, Meloy LD, et al. </w:t>
      </w:r>
      <w:r w:rsidRPr="00DE20C1">
        <w:rPr>
          <w:rFonts w:ascii="Times New Roman" w:eastAsia="Times New Roman" w:hAnsi="Times New Roman"/>
          <w:color w:val="000000"/>
          <w:sz w:val="24"/>
          <w:szCs w:val="24"/>
        </w:rPr>
        <w:t>Clinical trial of tin mesoporphyrin to prevent neonatal hyperbilirubinemia.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</w:t>
      </w:r>
      <w:r w:rsidRPr="00DE20C1">
        <w:rPr>
          <w:rFonts w:ascii="Times New Roman" w:eastAsia="Times New Roman" w:hAnsi="Times New Roman"/>
          <w:i/>
          <w:color w:val="000000"/>
          <w:sz w:val="24"/>
          <w:szCs w:val="24"/>
        </w:rPr>
        <w:t>J Perinatol</w:t>
      </w:r>
      <w:r w:rsidRPr="00DE20C1">
        <w:rPr>
          <w:rFonts w:ascii="Times New Roman" w:eastAsia="Times New Roman" w:hAnsi="Times New Roman"/>
          <w:color w:val="000000"/>
          <w:sz w:val="24"/>
          <w:szCs w:val="24"/>
        </w:rPr>
        <w:t>. 2016;36:533-</w:t>
      </w:r>
      <w:r>
        <w:rPr>
          <w:rFonts w:ascii="Times New Roman" w:eastAsia="Times New Roman" w:hAnsi="Times New Roman"/>
          <w:color w:val="000000"/>
          <w:sz w:val="24"/>
          <w:szCs w:val="24"/>
        </w:rPr>
        <w:t>53</w:t>
      </w:r>
      <w:r w:rsidRPr="00DE20C1">
        <w:rPr>
          <w:rFonts w:ascii="Times New Roman" w:eastAsia="Times New Roman" w:hAnsi="Times New Roman"/>
          <w:color w:val="000000"/>
          <w:sz w:val="24"/>
          <w:szCs w:val="24"/>
        </w:rPr>
        <w:t xml:space="preserve">9. </w:t>
      </w:r>
    </w:p>
    <w:p w:rsidR="00E40F80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Bhutani VK, Wong R. Bilirubin-induced neurologic dysfunction (BIND).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 xml:space="preserve">Semin Fetal Neonatal Med. </w:t>
      </w:r>
      <w:r w:rsidRPr="00DE20C1">
        <w:rPr>
          <w:rFonts w:ascii="Times New Roman" w:eastAsia="Times New Roman" w:hAnsi="Times New Roman"/>
          <w:sz w:val="24"/>
          <w:szCs w:val="24"/>
        </w:rPr>
        <w:t>2015;20:1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Bhutani VK, Wong RJ, Stevenson DK. Hyperbilirubinemia in preterm neonates.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Clin Perinatol</w:t>
      </w:r>
      <w:r w:rsidRPr="00DE20C1">
        <w:rPr>
          <w:rFonts w:ascii="Times New Roman" w:eastAsia="Times New Roman" w:hAnsi="Times New Roman"/>
          <w:sz w:val="24"/>
          <w:szCs w:val="24"/>
        </w:rPr>
        <w:t>. 2016;43:215-232.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Christensen RD, Lambert DK, Henry E, et al. End-tidal carbon monoxide as an indicator of the hemolytic rate.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Blood Cells Mol Dis</w:t>
      </w:r>
      <w:r w:rsidRPr="00DE20C1">
        <w:rPr>
          <w:rFonts w:ascii="Times New Roman" w:eastAsia="Times New Roman" w:hAnsi="Times New Roman"/>
          <w:sz w:val="24"/>
          <w:szCs w:val="24"/>
        </w:rPr>
        <w:t>. 2015;54:292-296</w:t>
      </w:r>
    </w:p>
    <w:p w:rsidR="00E40F80" w:rsidRPr="00DE20C1" w:rsidRDefault="00E40F80" w:rsidP="00E40F80">
      <w:pPr>
        <w:keepNext/>
        <w:shd w:val="clear" w:color="auto" w:fill="FFFFFF"/>
        <w:spacing w:before="120" w:after="120" w:line="480" w:lineRule="auto"/>
        <w:outlineLvl w:val="0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bCs/>
          <w:color w:val="000000"/>
          <w:kern w:val="32"/>
          <w:sz w:val="24"/>
          <w:szCs w:val="24"/>
        </w:rPr>
        <w:t>K</w:t>
      </w:r>
      <w:bookmarkStart w:id="0" w:name="_GoBack"/>
      <w:bookmarkEnd w:id="0"/>
      <w:r w:rsidRPr="00DE20C1">
        <w:rPr>
          <w:rFonts w:ascii="Times New Roman" w:eastAsia="Times New Roman" w:hAnsi="Times New Roman"/>
          <w:bCs/>
          <w:color w:val="000000"/>
          <w:kern w:val="32"/>
          <w:sz w:val="24"/>
          <w:szCs w:val="24"/>
        </w:rPr>
        <w:t xml:space="preserve">aplan M, Hammerman C, Bhutani VK. The preterm infant: a high-risk situation for neonatal hyperbilirubinemia due to glucose-6-phosphate dehydrogenase deficiency. </w:t>
      </w:r>
      <w:r w:rsidRPr="00DE20C1">
        <w:rPr>
          <w:rFonts w:ascii="Times New Roman" w:eastAsia="Times New Roman" w:hAnsi="Times New Roman"/>
          <w:bCs/>
          <w:i/>
          <w:color w:val="000000"/>
          <w:kern w:val="32"/>
          <w:sz w:val="24"/>
          <w:szCs w:val="24"/>
        </w:rPr>
        <w:t xml:space="preserve">Clin Perinatol. </w:t>
      </w:r>
      <w:r w:rsidRPr="00DE20C1">
        <w:rPr>
          <w:rFonts w:ascii="Times New Roman" w:eastAsia="Times New Roman" w:hAnsi="Times New Roman"/>
          <w:bCs/>
          <w:color w:val="000000"/>
          <w:kern w:val="32"/>
          <w:sz w:val="24"/>
          <w:szCs w:val="24"/>
        </w:rPr>
        <w:t>2016;43:325-340</w:t>
      </w:r>
      <w:r w:rsidR="00A666A6">
        <w:rPr>
          <w:rFonts w:ascii="Times New Roman" w:eastAsia="Times New Roman" w:hAnsi="Times New Roman"/>
          <w:bCs/>
          <w:color w:val="000000"/>
          <w:kern w:val="32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Louis D, More K, Oberoi S, Shah PS. Intravenous immunoglobulin in isoimmune haemolytic disease of newborn: an updated systematic review and meta-analysis.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Arch Dis Child Fetal Neonatal Ed.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2014;99:F325-F331.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Mahajan V, Jain SK. Hereditary spherocytosis.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NeoReviews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2016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DE20C1">
        <w:rPr>
          <w:rFonts w:ascii="Times New Roman" w:eastAsia="Times New Roman" w:hAnsi="Times New Roman"/>
          <w:sz w:val="24"/>
          <w:szCs w:val="24"/>
        </w:rPr>
        <w:t>17:e697-e704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Maisels MJ, Clune S, Coleman K, et al. The natural history of jaundice in predominantly breastfed infants.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Pediatrics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2014;134:e340-e345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lastRenderedPageBreak/>
        <w:t xml:space="preserve">Maisels MJ, Watchko JF, Bhutani VK, Stevenson DK. An approach to the management of hyperbilirubinemia in the preterm infant less than 35 weeks of gestation.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J Perinatol</w:t>
      </w:r>
      <w:r w:rsidRPr="00DE20C1">
        <w:rPr>
          <w:rFonts w:ascii="Times New Roman" w:eastAsia="Times New Roman" w:hAnsi="Times New Roman"/>
          <w:sz w:val="24"/>
          <w:szCs w:val="24"/>
        </w:rPr>
        <w:t>. 2012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DE20C1">
        <w:rPr>
          <w:rFonts w:ascii="Times New Roman" w:eastAsia="Times New Roman" w:hAnsi="Times New Roman"/>
          <w:sz w:val="24"/>
          <w:szCs w:val="24"/>
        </w:rPr>
        <w:t>32:660-664.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>Norman M, Åberg K, Holmsten</w:t>
      </w:r>
      <w:r w:rsidRPr="00EC037E">
        <w:rPr>
          <w:rFonts w:ascii="Times New Roman" w:eastAsia="Times New Roman" w:hAnsi="Times New Roman"/>
          <w:sz w:val="24"/>
          <w:szCs w:val="24"/>
        </w:rPr>
        <w:t xml:space="preserve"> </w:t>
      </w:r>
      <w:r w:rsidRPr="00DE20C1">
        <w:rPr>
          <w:rFonts w:ascii="Times New Roman" w:eastAsia="Times New Roman" w:hAnsi="Times New Roman"/>
          <w:sz w:val="24"/>
          <w:szCs w:val="24"/>
        </w:rPr>
        <w:t>K, et al. Predicting nonhemolytic neonatal hyperbilirubinemia.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i/>
          <w:sz w:val="24"/>
          <w:szCs w:val="24"/>
        </w:rPr>
        <w:t>Pediatrics</w:t>
      </w:r>
      <w:r w:rsidRPr="00DE20C1">
        <w:rPr>
          <w:rFonts w:ascii="Times New Roman" w:eastAsia="Times New Roman" w:hAnsi="Times New Roman"/>
          <w:sz w:val="24"/>
          <w:szCs w:val="24"/>
        </w:rPr>
        <w:t>. 2015;136:1087-1094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Quist FK, Bapat R, Kuch-Kunich HK, et al. Clinical utility of transcutaneous bilirubinometer (TcB) in very low birth weight (VLBW) infants.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J Perinat Med</w:t>
      </w:r>
      <w:r w:rsidRPr="00DE20C1">
        <w:rPr>
          <w:rFonts w:ascii="Times New Roman" w:eastAsia="Times New Roman" w:hAnsi="Times New Roman"/>
          <w:sz w:val="24"/>
          <w:szCs w:val="24"/>
        </w:rPr>
        <w:t>. 2016;44:933-939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Sachdeva M, Murki S, Oleti TP, Kandraju H. Intermittent versus continuous phototherapy for the treatment of neonatal non-hemolytic moderate hyperbilirubinemia in infants more than 34 weeks of gestational age: a randomized controlled trial.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Eur J Pediatr</w:t>
      </w:r>
      <w:r w:rsidRPr="00DE20C1">
        <w:rPr>
          <w:rFonts w:ascii="Times New Roman" w:eastAsia="Times New Roman" w:hAnsi="Times New Roman"/>
          <w:sz w:val="24"/>
          <w:szCs w:val="24"/>
        </w:rPr>
        <w:t>. 2015;174:177-1781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DE20C1">
        <w:rPr>
          <w:rFonts w:ascii="Times New Roman" w:eastAsia="Times New Roman" w:hAnsi="Times New Roman"/>
          <w:color w:val="000000"/>
          <w:sz w:val="24"/>
          <w:szCs w:val="24"/>
        </w:rPr>
        <w:t xml:space="preserve">Shapiro S, Le Pichon JB, Riordan SM, Watchkoe J. </w:t>
      </w:r>
      <w:r w:rsidRPr="00DE20C1">
        <w:rPr>
          <w:rFonts w:ascii="Times New Roman" w:eastAsia="Times New Roman" w:hAnsi="Times New Roman"/>
          <w:bCs/>
          <w:color w:val="000000"/>
          <w:sz w:val="24"/>
          <w:szCs w:val="24"/>
        </w:rPr>
        <w:t>The neurological sequelae of neonatal hyperbilirubinemia: definitions, diagnosis and treatment of the</w:t>
      </w:r>
      <w:r w:rsidR="00A666A6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Pr="00DE20C1">
        <w:rPr>
          <w:rFonts w:ascii="Times New Roman" w:eastAsia="Times New Roman" w:hAnsi="Times New Roman"/>
          <w:bCs/>
          <w:color w:val="000000"/>
          <w:sz w:val="24"/>
          <w:szCs w:val="24"/>
        </w:rPr>
        <w:t>kernicterus</w:t>
      </w:r>
      <w:r w:rsidR="00A666A6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Pr="00DE20C1">
        <w:rPr>
          <w:rFonts w:ascii="Times New Roman" w:eastAsia="Times New Roman" w:hAnsi="Times New Roman"/>
          <w:bCs/>
          <w:color w:val="000000"/>
          <w:sz w:val="24"/>
          <w:szCs w:val="24"/>
        </w:rPr>
        <w:t>spectrum disorders (KSDs).</w:t>
      </w:r>
      <w:r w:rsidRPr="00DE20C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5" w:tooltip="Current pediatric reviews." w:history="1">
        <w:r w:rsidRPr="00DE20C1">
          <w:rPr>
            <w:rFonts w:ascii="Times New Roman" w:eastAsia="Times New Roman" w:hAnsi="Times New Roman"/>
            <w:i/>
            <w:color w:val="000000"/>
            <w:sz w:val="24"/>
            <w:szCs w:val="24"/>
            <w:shd w:val="clear" w:color="auto" w:fill="FFFFFF"/>
          </w:rPr>
          <w:t>Curr Pediatr Rev</w:t>
        </w:r>
        <w:r w:rsidRPr="00DE20C1">
          <w:rPr>
            <w:rFonts w:ascii="Times New Roman" w:eastAsia="Times New Roman" w:hAnsi="Times New Roman"/>
            <w:color w:val="000000"/>
            <w:sz w:val="24"/>
            <w:szCs w:val="24"/>
            <w:shd w:val="clear" w:color="auto" w:fill="FFFFFF"/>
          </w:rPr>
          <w:t>.</w:t>
        </w:r>
      </w:hyperlink>
      <w:r w:rsidR="00A666A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360D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2017</w:t>
      </w:r>
      <w:proofErr w:type="gramStart"/>
      <w:r w:rsidRPr="00F360D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;13</w:t>
      </w:r>
      <w:proofErr w:type="gramEnd"/>
      <w:r w:rsidRPr="00F360D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(3):199-209.</w:t>
      </w:r>
      <w:r w:rsidRPr="00F360D6" w:rsidDel="00F360D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color w:val="000000"/>
          <w:sz w:val="24"/>
          <w:szCs w:val="24"/>
        </w:rPr>
        <w:t>Skierka JM, Kotzer KE, Lagerstedt SA, et al. UGT1A1 genetic analysis as a diagnostic aid for individuals with unconjugated hyperbilirubinemia.</w:t>
      </w:r>
      <w:r w:rsidRPr="00DE20C1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J Pediatr</w:t>
      </w:r>
      <w:r w:rsidRPr="00DE20C1">
        <w:rPr>
          <w:rFonts w:ascii="Times New Roman" w:eastAsia="Times New Roman" w:hAnsi="Times New Roman"/>
          <w:color w:val="000000"/>
          <w:sz w:val="24"/>
          <w:szCs w:val="24"/>
        </w:rPr>
        <w:t xml:space="preserve"> 2013;162:1146-1152.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>Taylor JA, Burgos AE, Flaherman V, 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Discrepancies between transcutaneous and serum bilirubin measurements.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Pediatrics</w:t>
      </w:r>
      <w:r w:rsidRPr="00DE20C1">
        <w:rPr>
          <w:rFonts w:ascii="Times New Roman" w:eastAsia="Times New Roman" w:hAnsi="Times New Roman"/>
          <w:sz w:val="24"/>
          <w:szCs w:val="24"/>
        </w:rPr>
        <w:t>. 2015;135:224-231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>Tidmarsh GF, Wong RJ, Stevenson DK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et al. End-tidal carbon monoxide and hemolysis. </w:t>
      </w:r>
      <w:r w:rsidRPr="00DE20C1">
        <w:rPr>
          <w:rFonts w:ascii="Times New Roman" w:eastAsia="Times New Roman" w:hAnsi="Times New Roman"/>
          <w:i/>
          <w:sz w:val="24"/>
          <w:szCs w:val="24"/>
        </w:rPr>
        <w:t>J Perinatol.</w:t>
      </w:r>
      <w:r w:rsidRPr="00DE20C1">
        <w:rPr>
          <w:rFonts w:ascii="Times New Roman" w:eastAsia="Times New Roman" w:hAnsi="Times New Roman"/>
          <w:sz w:val="24"/>
          <w:szCs w:val="24"/>
        </w:rPr>
        <w:t xml:space="preserve"> 2014;34:577-581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DE20C1">
        <w:rPr>
          <w:rFonts w:ascii="Times New Roman" w:eastAsia="Times New Roman" w:hAnsi="Times New Roman"/>
          <w:sz w:val="24"/>
          <w:szCs w:val="24"/>
        </w:rPr>
        <w:t xml:space="preserve">Wickremasinghe AC, Kuzniewicz MW, Grimes BA, et al. Neonatal phototherapy and infantile cancer. </w:t>
      </w:r>
      <w:r w:rsidRPr="002B150A">
        <w:rPr>
          <w:rFonts w:ascii="Times New Roman" w:eastAsia="Times New Roman" w:hAnsi="Times New Roman"/>
          <w:i/>
          <w:sz w:val="24"/>
          <w:szCs w:val="24"/>
        </w:rPr>
        <w:t>Pediatrics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DE20C1">
        <w:rPr>
          <w:rFonts w:ascii="Times New Roman" w:eastAsia="Times New Roman" w:hAnsi="Times New Roman"/>
          <w:sz w:val="24"/>
          <w:szCs w:val="24"/>
        </w:rPr>
        <w:t>2016;137</w:t>
      </w:r>
      <w:r>
        <w:rPr>
          <w:rFonts w:ascii="Times New Roman" w:eastAsia="Times New Roman" w:hAnsi="Times New Roman"/>
          <w:sz w:val="24"/>
          <w:szCs w:val="24"/>
        </w:rPr>
        <w:t>:6</w:t>
      </w:r>
      <w:r w:rsidRPr="00DE20C1">
        <w:rPr>
          <w:rFonts w:ascii="Times New Roman" w:eastAsia="Times New Roman" w:hAnsi="Times New Roman"/>
          <w:sz w:val="24"/>
          <w:szCs w:val="24"/>
        </w:rPr>
        <w:t>.</w:t>
      </w:r>
    </w:p>
    <w:p w:rsidR="00E40F80" w:rsidRPr="00DE20C1" w:rsidRDefault="00E40F80" w:rsidP="00E40F80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80"/>
    <w:rsid w:val="0011072C"/>
    <w:rsid w:val="00485E7D"/>
    <w:rsid w:val="00576BA8"/>
    <w:rsid w:val="005B2AC5"/>
    <w:rsid w:val="006D0B25"/>
    <w:rsid w:val="00A666A6"/>
    <w:rsid w:val="00E4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F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A6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6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6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6A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6A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F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A6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6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6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6A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6A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cbi.nlm.nih.gov/pubmed/?term=Watchkoe%20J%5BAuthor%5D&amp;cauthor=true&amp;cauthor_uid=288142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2019-07-18T07:58:00Z</dcterms:created>
  <dcterms:modified xsi:type="dcterms:W3CDTF">2019-10-16T08:08:00Z</dcterms:modified>
</cp:coreProperties>
</file>