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5B" w:rsidRDefault="00DE0D5B" w:rsidP="00C006B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946E44">
        <w:rPr>
          <w:rFonts w:ascii="Times New Roman" w:hAnsi="Times New Roman" w:cs="Times New Roman"/>
          <w:color w:val="000000"/>
          <w:sz w:val="36"/>
        </w:rPr>
        <w:t>107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946E44">
        <w:rPr>
          <w:rFonts w:ascii="Times New Roman" w:hAnsi="Times New Roman" w:cs="Times New Roman"/>
          <w:color w:val="000000"/>
          <w:sz w:val="36"/>
        </w:rPr>
        <w:t xml:space="preserve"> Multiple Gestation</w:t>
      </w:r>
      <w:r w:rsidRPr="00946E44" w:rsidDel="00DE0D5B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C006B8" w:rsidRPr="00460CBE" w:rsidRDefault="00C006B8" w:rsidP="00C006B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460CBE">
        <w:rPr>
          <w:rFonts w:ascii="Times New Roman" w:hAnsi="Times New Roman" w:cs="Times New Roman"/>
          <w:color w:val="000000" w:themeColor="text1"/>
        </w:rPr>
        <w:t>Selected References</w:t>
      </w:r>
    </w:p>
    <w:p w:rsidR="00C006B8" w:rsidRPr="00460CBE" w:rsidRDefault="00C006B8" w:rsidP="00946E44">
      <w:pPr>
        <w:spacing w:line="480" w:lineRule="auto"/>
        <w:ind w:left="0" w:firstLine="0"/>
        <w:jc w:val="left"/>
        <w:rPr>
          <w:rFonts w:ascii="Times New Roman" w:hAnsi="Times New Roman" w:cs="Times New Roman"/>
          <w:noProof/>
          <w:color w:val="000000" w:themeColor="text1"/>
        </w:rPr>
      </w:pPr>
      <w:r w:rsidRPr="00460CBE">
        <w:rPr>
          <w:rFonts w:ascii="Times New Roman" w:hAnsi="Times New Roman" w:cs="Times New Roman"/>
          <w:noProof/>
          <w:color w:val="000000" w:themeColor="text1"/>
        </w:rPr>
        <w:t xml:space="preserve">Ananth CV, Chauhan SP. Epidemiology </w:t>
      </w:r>
      <w:r w:rsidRPr="00E85B57">
        <w:rPr>
          <w:rFonts w:ascii="Times New Roman" w:hAnsi="Times New Roman" w:cs="Times New Roman"/>
          <w:noProof/>
          <w:color w:val="000000" w:themeColor="text1"/>
        </w:rPr>
        <w:t>of periviable births pregnancy</w:t>
      </w:r>
      <w:r w:rsidRPr="00460CBE">
        <w:rPr>
          <w:rFonts w:ascii="Times New Roman" w:hAnsi="Times New Roman" w:cs="Times New Roman"/>
          <w:noProof/>
          <w:color w:val="000000" w:themeColor="text1"/>
        </w:rPr>
        <w:t xml:space="preserve">. </w:t>
      </w:r>
      <w:r w:rsidRPr="00460CBE">
        <w:rPr>
          <w:rFonts w:ascii="Times New Roman" w:hAnsi="Times New Roman" w:cs="Times New Roman"/>
          <w:i/>
          <w:iCs/>
          <w:noProof/>
          <w:color w:val="000000" w:themeColor="text1"/>
        </w:rPr>
        <w:t>Clin Perinatol</w:t>
      </w:r>
      <w:r w:rsidRPr="00460CBE">
        <w:rPr>
          <w:rFonts w:ascii="Times New Roman" w:hAnsi="Times New Roman" w:cs="Times New Roman"/>
          <w:noProof/>
          <w:color w:val="000000" w:themeColor="text1"/>
        </w:rPr>
        <w:t>. 2017;44(2):333</w:t>
      </w:r>
      <w:r>
        <w:rPr>
          <w:rFonts w:ascii="Times New Roman" w:hAnsi="Times New Roman" w:cs="Times New Roman"/>
          <w:noProof/>
          <w:color w:val="000000" w:themeColor="text1"/>
        </w:rPr>
        <w:t>-</w:t>
      </w:r>
      <w:r w:rsidRPr="00460CBE">
        <w:rPr>
          <w:rFonts w:ascii="Times New Roman" w:hAnsi="Times New Roman" w:cs="Times New Roman"/>
          <w:noProof/>
          <w:color w:val="000000" w:themeColor="text1"/>
        </w:rPr>
        <w:t xml:space="preserve">345. 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Bromer JG, Ata B, Seli M, Lockwood CJ, Seli E.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Preterm deliveries that result from multiple pregnancies associated with assisted reproductive technologies in the USA: a cost analysis.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Curr Opin Obstet Gynecol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. 2011;</w:t>
      </w:r>
      <w:bookmarkStart w:id="0" w:name="_GoBack"/>
      <w:bookmarkEnd w:id="0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23:168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173.</w:t>
      </w:r>
    </w:p>
    <w:p w:rsidR="00C006B8" w:rsidRPr="00460CBE" w:rsidRDefault="00C006B8" w:rsidP="00946E44">
      <w:pPr>
        <w:spacing w:line="480" w:lineRule="auto"/>
        <w:ind w:left="0" w:firstLine="0"/>
        <w:jc w:val="left"/>
        <w:rPr>
          <w:rFonts w:ascii="Times New Roman" w:hAnsi="Times New Roman" w:cs="Times New Roman"/>
          <w:noProof/>
          <w:color w:val="000000" w:themeColor="text1"/>
        </w:rPr>
      </w:pPr>
      <w:r w:rsidRPr="00460CBE">
        <w:rPr>
          <w:rFonts w:ascii="Times New Roman" w:hAnsi="Times New Roman" w:cs="Times New Roman"/>
          <w:noProof/>
          <w:color w:val="000000" w:themeColor="text1"/>
        </w:rPr>
        <w:t xml:space="preserve">Cheong-See F, Schuit E, Arroyo-Manzano D, et al. Prospective risk of stillbirth and neonatal complications in twin pregnancies: systematic review and meta-analysis. </w:t>
      </w:r>
      <w:r w:rsidRPr="00E85B57">
        <w:rPr>
          <w:rFonts w:ascii="Times New Roman" w:hAnsi="Times New Roman" w:cs="Times New Roman"/>
          <w:i/>
          <w:iCs/>
          <w:noProof/>
          <w:color w:val="000000" w:themeColor="text1"/>
        </w:rPr>
        <w:t>BMJ</w:t>
      </w:r>
      <w:r w:rsidRPr="00460CBE">
        <w:rPr>
          <w:rFonts w:ascii="Times New Roman" w:hAnsi="Times New Roman" w:cs="Times New Roman"/>
          <w:noProof/>
          <w:color w:val="000000" w:themeColor="text1"/>
        </w:rPr>
        <w:t>. 2016</w:t>
      </w:r>
      <w:r>
        <w:rPr>
          <w:rFonts w:ascii="Times New Roman" w:hAnsi="Times New Roman" w:cs="Times New Roman"/>
          <w:noProof/>
          <w:color w:val="000000" w:themeColor="text1"/>
        </w:rPr>
        <w:t>;354</w:t>
      </w:r>
      <w:r w:rsidRPr="00460CBE">
        <w:rPr>
          <w:rFonts w:ascii="Times New Roman" w:hAnsi="Times New Roman" w:cs="Times New Roman"/>
          <w:noProof/>
          <w:color w:val="000000" w:themeColor="text1"/>
        </w:rPr>
        <w:t xml:space="preserve">:i4353. 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Hayes EJ, Paul D, Ness A, Mackley A, Berghella V. Very-low-birthweight neonates: do outcomes differ in multiple compared with singleton gestations?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Am J Perinatol.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2007;24:373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376.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Lopriore E, Middeldorp JM, Sueters M,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et al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Long-term neurodevelopmental outcome in twin-to-twin transfusion syndrome treated with fetoscopic laser surgery.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Am J Obstet Gynecol.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2007;196:231.e1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231.e4.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Lopriore E, van Wezel-Meijler G, Middeldorp JM, Sueters M, Vandenbussche FP, Walther FJ.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Incidence, origin, and character of cerebral injury in twin-to-twin transfusion syndrome treated with fetoscopic laser surgery.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Am J Obstet Gynecol.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2006;194:1215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1220.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Luo ZC, Ouyang F, Zhang J, Klebanoff M. Perinatal mortality in second- vs firstborn twins: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a</w:t>
      </w:r>
      <w:r w:rsidRPr="00460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matter of birth size or birth order? </w:t>
      </w:r>
      <w:r w:rsidRPr="00460CBE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Am J Obstet Gynecol</w:t>
      </w:r>
      <w:r w:rsidRPr="00460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 2014;211(2):153.e1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153.e8. 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Marin JA, Hamilton BE, Osterman MJ, Driscoll AK, Mathews MS. Births </w:t>
      </w:r>
      <w:r w:rsidRPr="00E85B57">
        <w:rPr>
          <w:rFonts w:ascii="Times New Roman" w:hAnsi="Times New Roman" w:cs="Times New Roman"/>
          <w:color w:val="000000" w:themeColor="text1"/>
          <w:sz w:val="24"/>
          <w:szCs w:val="24"/>
        </w:rPr>
        <w:t>final data for 2015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60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Natl</w:t>
      </w:r>
      <w:r w:rsidRPr="00634F10">
        <w:rPr>
          <w:rFonts w:ascii="Times New Roman" w:hAnsi="Times New Roman"/>
          <w:i/>
          <w:color w:val="000000" w:themeColor="text1"/>
          <w:sz w:val="24"/>
        </w:rPr>
        <w:t xml:space="preserve"> Vital Stat Rep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. 2017,66:1-70.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Salomon LJ, Ortqvist L, Aegerter P, et al.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Long-term developmental follow-up of infants who </w:t>
      </w:r>
      <w:proofErr w:type="gramStart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participated</w:t>
      </w:r>
      <w:proofErr w:type="gramEnd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 randomized clinical trial of amniocentesis vs laser photocoagulation for the treatment of twin-twin transfusion syndrome.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Am J Obstet Gynecol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. 2010;203:e1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e7.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Shinwell ES, Blickstein I, Lusky A, Reichman B.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Effect of birth order on neonatal morbidity and mortality among very low birthweight twins: a population based study.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Arch Dis Child Fetal Neonatal Ed.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2004;89:F145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F148.</w:t>
      </w:r>
    </w:p>
    <w:p w:rsidR="00C006B8" w:rsidRPr="00460CBE" w:rsidRDefault="00C006B8" w:rsidP="00946E44">
      <w:pPr>
        <w:pStyle w:val="referencestext"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Wadhawan R, Oh W, Vohr BR, et al.</w:t>
      </w:r>
      <w:r w:rsidR="00DE0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Neurodevolopmental</w:t>
      </w:r>
      <w:proofErr w:type="spellEnd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outcomes of triplets or higher order extremely low birth weight infants.</w:t>
      </w:r>
      <w:proofErr w:type="gramEnd"/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CB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. 2011;127:e654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60CBE">
        <w:rPr>
          <w:rFonts w:ascii="Times New Roman" w:hAnsi="Times New Roman" w:cs="Times New Roman"/>
          <w:color w:val="000000" w:themeColor="text1"/>
          <w:sz w:val="24"/>
          <w:szCs w:val="24"/>
        </w:rPr>
        <w:t>e660.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-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B8"/>
    <w:rsid w:val="003A1EC9"/>
    <w:rsid w:val="00946E44"/>
    <w:rsid w:val="00C006B8"/>
    <w:rsid w:val="00D43E1E"/>
    <w:rsid w:val="00DE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006B8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C006B8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paragraph" w:customStyle="1" w:styleId="heading-01">
    <w:name w:val="heading-01"/>
    <w:basedOn w:val="Normal"/>
    <w:uiPriority w:val="99"/>
    <w:rsid w:val="00C006B8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18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character" w:customStyle="1" w:styleId="italic">
    <w:name w:val="italic"/>
    <w:uiPriority w:val="99"/>
    <w:rsid w:val="00C006B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D5B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006B8"/>
    <w:pPr>
      <w:widowControl w:val="0"/>
      <w:autoSpaceDE w:val="0"/>
      <w:autoSpaceDN w:val="0"/>
      <w:adjustRightInd w:val="0"/>
      <w:spacing w:after="0" w:line="288" w:lineRule="auto"/>
      <w:ind w:left="403" w:hanging="403"/>
      <w:jc w:val="both"/>
      <w:textAlignment w:val="center"/>
    </w:pPr>
    <w:rPr>
      <w:rFonts w:ascii="Helvetica-Condensed-Light" w:eastAsia="Times New Roman" w:hAnsi="Helvetica-Condensed-Light" w:cs="Helvetica-Condensed-Light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C006B8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paragraph" w:customStyle="1" w:styleId="heading-01">
    <w:name w:val="heading-01"/>
    <w:basedOn w:val="Normal"/>
    <w:uiPriority w:val="99"/>
    <w:rsid w:val="00C006B8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180" w:after="120" w:line="300" w:lineRule="atLeast"/>
      <w:ind w:left="0" w:firstLine="0"/>
    </w:pPr>
    <w:rPr>
      <w:rFonts w:ascii="TradeGothicLTStd-BdCn20" w:hAnsi="TradeGothicLTStd-BdCn20" w:cs="TradeGothicLTStd-BdCn20"/>
      <w:b/>
      <w:bCs/>
      <w:color w:val="0072AE"/>
    </w:rPr>
  </w:style>
  <w:style w:type="character" w:customStyle="1" w:styleId="italic">
    <w:name w:val="italic"/>
    <w:uiPriority w:val="99"/>
    <w:rsid w:val="00C006B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D5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2019-07-23T06:42:00Z</dcterms:created>
  <dcterms:modified xsi:type="dcterms:W3CDTF">2019-10-16T08:13:00Z</dcterms:modified>
</cp:coreProperties>
</file>