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F22" w:rsidRDefault="00EF1F22" w:rsidP="001D3E5F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ind w:left="360" w:hanging="360"/>
        <w:textAlignment w:val="center"/>
        <w:outlineLvl w:val="0"/>
        <w:rPr>
          <w:b/>
          <w:bCs/>
          <w:color w:val="000000"/>
        </w:rPr>
      </w:pPr>
      <w:r w:rsidRPr="00FE190C">
        <w:rPr>
          <w:b/>
          <w:bCs/>
          <w:color w:val="000000"/>
          <w:sz w:val="36"/>
          <w:lang w:bidi="ar-SA"/>
        </w:rPr>
        <w:t xml:space="preserve">85 </w:t>
      </w:r>
      <w:r>
        <w:rPr>
          <w:b/>
          <w:bCs/>
          <w:color w:val="000000"/>
          <w:sz w:val="36"/>
          <w:lang w:bidi="ar-SA"/>
        </w:rPr>
        <w:t xml:space="preserve">   </w:t>
      </w:r>
      <w:r w:rsidRPr="00FE190C">
        <w:rPr>
          <w:b/>
          <w:bCs/>
          <w:color w:val="000000"/>
          <w:sz w:val="36"/>
          <w:lang w:bidi="ar-SA"/>
        </w:rPr>
        <w:t>ABO Incompatibility</w:t>
      </w:r>
    </w:p>
    <w:p w:rsidR="001D3E5F" w:rsidRPr="00D0055A" w:rsidRDefault="001D3E5F" w:rsidP="001D3E5F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ind w:left="360" w:hanging="360"/>
        <w:textAlignment w:val="center"/>
        <w:outlineLvl w:val="0"/>
        <w:rPr>
          <w:b/>
          <w:bCs/>
          <w:color w:val="000000"/>
        </w:rPr>
      </w:pPr>
      <w:r w:rsidRPr="00D0055A">
        <w:rPr>
          <w:b/>
          <w:bCs/>
          <w:color w:val="000000"/>
        </w:rPr>
        <w:t>Selected References</w:t>
      </w:r>
    </w:p>
    <w:p w:rsidR="001D3E5F" w:rsidRPr="00D0055A" w:rsidRDefault="001D3E5F" w:rsidP="00FE190C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outlineLvl w:val="0"/>
        <w:rPr>
          <w:color w:val="000000"/>
        </w:rPr>
      </w:pPr>
      <w:r w:rsidRPr="00D0055A">
        <w:rPr>
          <w:color w:val="000000"/>
          <w:lang w:bidi="ar-SA"/>
        </w:rPr>
        <w:t>Deepak</w:t>
      </w:r>
      <w:r w:rsidRPr="00D0055A">
        <w:rPr>
          <w:color w:val="000000"/>
        </w:rPr>
        <w:t xml:space="preserve"> L, </w:t>
      </w:r>
      <w:r w:rsidRPr="00D0055A">
        <w:rPr>
          <w:color w:val="000000"/>
          <w:lang w:bidi="ar-SA"/>
        </w:rPr>
        <w:t>More,</w:t>
      </w:r>
      <w:r w:rsidRPr="00D0055A">
        <w:rPr>
          <w:color w:val="000000"/>
        </w:rPr>
        <w:t xml:space="preserve"> K, </w:t>
      </w:r>
      <w:r w:rsidRPr="00D0055A">
        <w:rPr>
          <w:color w:val="000000"/>
          <w:lang w:bidi="ar-SA"/>
        </w:rPr>
        <w:t>Obero</w:t>
      </w:r>
      <w:r w:rsidRPr="00D0055A">
        <w:rPr>
          <w:color w:val="000000"/>
        </w:rPr>
        <w:t xml:space="preserve"> S, Shah P. I</w:t>
      </w:r>
      <w:r w:rsidRPr="00D0055A">
        <w:rPr>
          <w:color w:val="000000"/>
          <w:lang w:bidi="ar-SA"/>
        </w:rPr>
        <w:t>ntravenous immunoglobulin in isoimmune</w:t>
      </w:r>
      <w:r w:rsidRPr="00D0055A">
        <w:rPr>
          <w:color w:val="000000"/>
        </w:rPr>
        <w:t xml:space="preserve"> h</w:t>
      </w:r>
      <w:r w:rsidRPr="00D0055A">
        <w:rPr>
          <w:color w:val="000000"/>
          <w:lang w:bidi="ar-SA"/>
        </w:rPr>
        <w:t>aemolytic disease of newborn: an updated</w:t>
      </w:r>
      <w:r w:rsidRPr="00D0055A">
        <w:rPr>
          <w:color w:val="000000"/>
        </w:rPr>
        <w:t xml:space="preserve"> </w:t>
      </w:r>
      <w:r w:rsidRPr="00D0055A">
        <w:rPr>
          <w:color w:val="000000"/>
          <w:lang w:bidi="ar-SA"/>
        </w:rPr>
        <w:t>systematic review and meta-analysis</w:t>
      </w:r>
      <w:r w:rsidRPr="00D0055A">
        <w:rPr>
          <w:color w:val="000000"/>
        </w:rPr>
        <w:t xml:space="preserve">. </w:t>
      </w:r>
      <w:r w:rsidRPr="00D0055A">
        <w:rPr>
          <w:i/>
          <w:iCs/>
          <w:color w:val="000000"/>
        </w:rPr>
        <w:t>Arch Dis Child Fetal Neonatal Ed</w:t>
      </w:r>
      <w:r>
        <w:rPr>
          <w:i/>
          <w:iCs/>
          <w:color w:val="000000"/>
        </w:rPr>
        <w:t xml:space="preserve">. </w:t>
      </w:r>
      <w:r w:rsidRPr="00D0055A">
        <w:rPr>
          <w:color w:val="000000"/>
        </w:rPr>
        <w:t>2014; 99:F325</w:t>
      </w:r>
      <w:r>
        <w:rPr>
          <w:color w:val="000000"/>
        </w:rPr>
        <w:t>-</w:t>
      </w:r>
      <w:r w:rsidRPr="00D0055A">
        <w:rPr>
          <w:color w:val="000000"/>
        </w:rPr>
        <w:t>F331</w:t>
      </w:r>
      <w:r>
        <w:rPr>
          <w:color w:val="000000"/>
        </w:rPr>
        <w:t>.</w:t>
      </w:r>
    </w:p>
    <w:p w:rsidR="001D3E5F" w:rsidRPr="00D0055A" w:rsidRDefault="001D3E5F" w:rsidP="00FE190C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line="480" w:lineRule="auto"/>
        <w:textAlignment w:val="center"/>
        <w:rPr>
          <w:color w:val="000000"/>
        </w:rPr>
      </w:pPr>
      <w:r w:rsidRPr="00D0055A">
        <w:rPr>
          <w:color w:val="000000"/>
        </w:rPr>
        <w:t>Figueras-Aloy J, Rodríguez-Miguélez JM, Iriondo-Sanz M,</w:t>
      </w:r>
      <w:r>
        <w:rPr>
          <w:color w:val="000000"/>
        </w:rPr>
        <w:t xml:space="preserve"> </w:t>
      </w:r>
      <w:r w:rsidRPr="00D0055A">
        <w:rPr>
          <w:color w:val="000000"/>
        </w:rPr>
        <w:t>et al.</w:t>
      </w:r>
      <w:r w:rsidR="00EF1F22">
        <w:rPr>
          <w:color w:val="000000"/>
        </w:rPr>
        <w:t xml:space="preserve"> </w:t>
      </w:r>
      <w:r w:rsidRPr="00D0055A">
        <w:rPr>
          <w:color w:val="000000"/>
        </w:rPr>
        <w:t xml:space="preserve">Intravenous immunoglobulin and necrotizing enterocolitis in newborns with hemolytic disease. </w:t>
      </w:r>
      <w:r w:rsidRPr="00D0055A">
        <w:rPr>
          <w:i/>
          <w:iCs/>
          <w:color w:val="000000"/>
        </w:rPr>
        <w:t>Pediatrics.</w:t>
      </w:r>
      <w:r w:rsidRPr="00D0055A">
        <w:rPr>
          <w:color w:val="000000"/>
        </w:rPr>
        <w:t xml:space="preserve"> 2010</w:t>
      </w:r>
      <w:r w:rsidR="007B3D9D" w:rsidRPr="00D0055A">
        <w:rPr>
          <w:color w:val="000000"/>
        </w:rPr>
        <w:t>; 125:139</w:t>
      </w:r>
      <w:r>
        <w:rPr>
          <w:color w:val="000000"/>
        </w:rPr>
        <w:t>-</w:t>
      </w:r>
      <w:r w:rsidRPr="00D0055A">
        <w:rPr>
          <w:color w:val="000000"/>
        </w:rPr>
        <w:t>144.</w:t>
      </w:r>
    </w:p>
    <w:p w:rsidR="001D3E5F" w:rsidRPr="00D0055A" w:rsidRDefault="001D3E5F" w:rsidP="00FE190C">
      <w:pPr>
        <w:widowControl w:val="0"/>
        <w:tabs>
          <w:tab w:val="left" w:pos="90"/>
        </w:tabs>
        <w:autoSpaceDE w:val="0"/>
        <w:autoSpaceDN w:val="0"/>
        <w:adjustRightInd w:val="0"/>
        <w:spacing w:line="480" w:lineRule="auto"/>
        <w:rPr>
          <w:color w:val="000000"/>
        </w:rPr>
      </w:pPr>
      <w:r w:rsidRPr="00D0055A">
        <w:rPr>
          <w:color w:val="000000"/>
        </w:rPr>
        <w:t>Li P, Pang L, Liang H, et al. Maternal IgG anti-A and anti-B titer levels screening</w:t>
      </w:r>
    </w:p>
    <w:p w:rsidR="001D3E5F" w:rsidRPr="00D0055A" w:rsidRDefault="001D3E5F" w:rsidP="00FE190C">
      <w:pPr>
        <w:tabs>
          <w:tab w:val="left" w:pos="90"/>
        </w:tabs>
        <w:spacing w:line="480" w:lineRule="auto"/>
        <w:rPr>
          <w:color w:val="000000"/>
        </w:rPr>
      </w:pPr>
      <w:r w:rsidRPr="00D0055A">
        <w:rPr>
          <w:color w:val="000000"/>
        </w:rPr>
        <w:t>plasma using real-time PCR.</w:t>
      </w:r>
      <w:r w:rsidR="00EF1F22">
        <w:rPr>
          <w:color w:val="000000"/>
        </w:rPr>
        <w:t xml:space="preserve"> </w:t>
      </w:r>
      <w:proofErr w:type="spellStart"/>
      <w:r w:rsidRPr="00820B76">
        <w:rPr>
          <w:i/>
          <w:color w:val="000000"/>
        </w:rPr>
        <w:t>Clin</w:t>
      </w:r>
      <w:proofErr w:type="spellEnd"/>
      <w:r w:rsidRPr="00820B76">
        <w:rPr>
          <w:i/>
          <w:color w:val="000000"/>
        </w:rPr>
        <w:t xml:space="preserve"> </w:t>
      </w:r>
      <w:proofErr w:type="spellStart"/>
      <w:r w:rsidRPr="00820B76">
        <w:rPr>
          <w:i/>
          <w:color w:val="000000"/>
        </w:rPr>
        <w:t>Chem</w:t>
      </w:r>
      <w:proofErr w:type="spellEnd"/>
      <w:r w:rsidRPr="00820B76">
        <w:rPr>
          <w:i/>
          <w:color w:val="000000"/>
        </w:rPr>
        <w:t xml:space="preserve"> Lab Med</w:t>
      </w:r>
      <w:r>
        <w:rPr>
          <w:color w:val="000000"/>
        </w:rPr>
        <w:t>.</w:t>
      </w:r>
      <w:r w:rsidRPr="00D0055A">
        <w:rPr>
          <w:color w:val="000000"/>
        </w:rPr>
        <w:t xml:space="preserve"> </w:t>
      </w:r>
      <w:r>
        <w:rPr>
          <w:color w:val="000000"/>
        </w:rPr>
        <w:t>2015;</w:t>
      </w:r>
      <w:r w:rsidRPr="00D0055A">
        <w:rPr>
          <w:color w:val="000000"/>
        </w:rPr>
        <w:t xml:space="preserve"> 53(12)</w:t>
      </w:r>
      <w:r>
        <w:rPr>
          <w:color w:val="000000"/>
        </w:rPr>
        <w:t>:</w:t>
      </w:r>
      <w:r w:rsidRPr="00D0055A">
        <w:rPr>
          <w:color w:val="000000"/>
        </w:rPr>
        <w:t xml:space="preserve">1943-1950. </w:t>
      </w:r>
    </w:p>
    <w:p w:rsidR="001D3E5F" w:rsidRPr="00717028" w:rsidRDefault="001D3E5F" w:rsidP="00FE190C">
      <w:pPr>
        <w:tabs>
          <w:tab w:val="left" w:pos="90"/>
        </w:tabs>
        <w:spacing w:line="480" w:lineRule="auto"/>
        <w:rPr>
          <w:color w:val="000000"/>
        </w:rPr>
      </w:pPr>
      <w:r w:rsidRPr="00717028">
        <w:rPr>
          <w:color w:val="000000"/>
        </w:rPr>
        <w:t xml:space="preserve">Song W, Zhou S, Shao L, </w:t>
      </w:r>
      <w:r>
        <w:rPr>
          <w:color w:val="000000"/>
        </w:rPr>
        <w:t xml:space="preserve">et al. </w:t>
      </w:r>
      <w:r w:rsidRPr="00717028">
        <w:rPr>
          <w:color w:val="000000"/>
        </w:rPr>
        <w:t>Non-invasive fetal ABO genotyping in maternal plasma using real-time PCR.</w:t>
      </w:r>
      <w:r>
        <w:rPr>
          <w:color w:val="000000"/>
        </w:rPr>
        <w:t xml:space="preserve"> </w:t>
      </w:r>
      <w:r w:rsidRPr="00820B76">
        <w:rPr>
          <w:i/>
          <w:color w:val="000000"/>
        </w:rPr>
        <w:t>Clin Chem Lab Med</w:t>
      </w:r>
      <w:r w:rsidRPr="00717028">
        <w:rPr>
          <w:color w:val="000000"/>
        </w:rPr>
        <w:t>. 2015; 53(12):1943-</w:t>
      </w:r>
      <w:r>
        <w:rPr>
          <w:color w:val="000000"/>
        </w:rPr>
        <w:t>19</w:t>
      </w:r>
      <w:r w:rsidRPr="00717028">
        <w:rPr>
          <w:color w:val="000000"/>
        </w:rPr>
        <w:t>5</w:t>
      </w:r>
      <w:r>
        <w:rPr>
          <w:color w:val="000000"/>
        </w:rPr>
        <w:t xml:space="preserve">0. </w:t>
      </w:r>
    </w:p>
    <w:p w:rsidR="001D3E5F" w:rsidRPr="00D0055A" w:rsidRDefault="001D3E5F" w:rsidP="00FE190C">
      <w:pPr>
        <w:tabs>
          <w:tab w:val="left" w:pos="90"/>
        </w:tabs>
        <w:spacing w:line="480" w:lineRule="auto"/>
        <w:rPr>
          <w:color w:val="000000"/>
        </w:rPr>
      </w:pPr>
      <w:r w:rsidRPr="00D0055A">
        <w:rPr>
          <w:color w:val="000000"/>
        </w:rPr>
        <w:t>Wagle S,</w:t>
      </w:r>
      <w:r w:rsidRPr="00D0055A">
        <w:rPr>
          <w:b/>
          <w:bCs/>
          <w:color w:val="000000"/>
        </w:rPr>
        <w:t xml:space="preserve"> </w:t>
      </w:r>
      <w:r w:rsidRPr="00D0055A">
        <w:rPr>
          <w:color w:val="000000"/>
        </w:rPr>
        <w:t>Deshpande PG. Hemolytic disease of the newborn</w:t>
      </w:r>
      <w:bookmarkStart w:id="0" w:name="_GoBack"/>
      <w:bookmarkEnd w:id="0"/>
      <w:r w:rsidRPr="00D0055A">
        <w:rPr>
          <w:color w:val="000000"/>
        </w:rPr>
        <w:t>.</w:t>
      </w:r>
      <w:r>
        <w:rPr>
          <w:color w:val="000000"/>
        </w:rPr>
        <w:t xml:space="preserve"> </w:t>
      </w:r>
      <w:r w:rsidRPr="00D0055A">
        <w:rPr>
          <w:color w:val="000000"/>
        </w:rPr>
        <w:t xml:space="preserve">http://emedicine.medscape.com/article/974349-overview. </w:t>
      </w:r>
      <w:r>
        <w:rPr>
          <w:color w:val="000000"/>
        </w:rPr>
        <w:t>Accessed January 19, 2019.</w:t>
      </w:r>
    </w:p>
    <w:p w:rsidR="001D3E5F" w:rsidRPr="00717028" w:rsidRDefault="001D3E5F" w:rsidP="00FE190C">
      <w:pPr>
        <w:tabs>
          <w:tab w:val="left" w:pos="90"/>
        </w:tabs>
        <w:spacing w:line="480" w:lineRule="auto"/>
        <w:rPr>
          <w:color w:val="000000"/>
        </w:rPr>
      </w:pPr>
      <w:proofErr w:type="spellStart"/>
      <w:r w:rsidRPr="00161FF4">
        <w:rPr>
          <w:color w:val="000000"/>
        </w:rPr>
        <w:t>Zwiers</w:t>
      </w:r>
      <w:proofErr w:type="spellEnd"/>
      <w:r w:rsidR="00EF1F22">
        <w:rPr>
          <w:color w:val="000000"/>
        </w:rPr>
        <w:t xml:space="preserve"> </w:t>
      </w:r>
      <w:r w:rsidRPr="00161FF4">
        <w:rPr>
          <w:color w:val="000000"/>
        </w:rPr>
        <w:t xml:space="preserve">C, </w:t>
      </w:r>
      <w:proofErr w:type="spellStart"/>
      <w:r w:rsidRPr="00161FF4">
        <w:rPr>
          <w:color w:val="000000"/>
        </w:rPr>
        <w:t>Scheffer</w:t>
      </w:r>
      <w:r w:rsidRPr="00161FF4">
        <w:rPr>
          <w:rFonts w:ascii="Cambria Math" w:hAnsi="Cambria Math" w:cs="Cambria Math"/>
          <w:color w:val="000000"/>
        </w:rPr>
        <w:t>‐</w:t>
      </w:r>
      <w:r w:rsidRPr="00161FF4">
        <w:rPr>
          <w:color w:val="000000"/>
        </w:rPr>
        <w:t>Rath</w:t>
      </w:r>
      <w:proofErr w:type="spellEnd"/>
      <w:r w:rsidR="00EF1F22">
        <w:rPr>
          <w:color w:val="000000"/>
        </w:rPr>
        <w:t xml:space="preserve"> </w:t>
      </w:r>
      <w:r w:rsidRPr="00161FF4">
        <w:rPr>
          <w:color w:val="000000"/>
        </w:rPr>
        <w:t xml:space="preserve">ME, </w:t>
      </w:r>
      <w:proofErr w:type="spellStart"/>
      <w:r w:rsidRPr="00161FF4">
        <w:rPr>
          <w:color w:val="000000"/>
        </w:rPr>
        <w:t>Lopriore</w:t>
      </w:r>
      <w:proofErr w:type="spellEnd"/>
      <w:r w:rsidR="00EF1F22">
        <w:rPr>
          <w:color w:val="000000"/>
        </w:rPr>
        <w:t xml:space="preserve"> </w:t>
      </w:r>
      <w:r w:rsidRPr="00161FF4">
        <w:rPr>
          <w:color w:val="000000"/>
        </w:rPr>
        <w:t>E, de Haas</w:t>
      </w:r>
      <w:r w:rsidR="00EF1F22">
        <w:rPr>
          <w:color w:val="000000"/>
        </w:rPr>
        <w:t xml:space="preserve"> </w:t>
      </w:r>
      <w:r w:rsidRPr="00161FF4">
        <w:rPr>
          <w:color w:val="000000"/>
        </w:rPr>
        <w:t xml:space="preserve">M, </w:t>
      </w:r>
      <w:proofErr w:type="spellStart"/>
      <w:r w:rsidRPr="00161FF4">
        <w:rPr>
          <w:color w:val="000000"/>
        </w:rPr>
        <w:t>Liley</w:t>
      </w:r>
      <w:proofErr w:type="spellEnd"/>
      <w:r w:rsidR="00EF1F22">
        <w:rPr>
          <w:color w:val="000000"/>
        </w:rPr>
        <w:t xml:space="preserve"> </w:t>
      </w:r>
      <w:r w:rsidRPr="00161FF4">
        <w:rPr>
          <w:color w:val="000000"/>
        </w:rPr>
        <w:t xml:space="preserve">HG. Immunoglobulin for alloimmune hemolytic disease in neonates. </w:t>
      </w:r>
      <w:r w:rsidRPr="00871919">
        <w:rPr>
          <w:i/>
          <w:color w:val="000000"/>
        </w:rPr>
        <w:t>Cochrane Database Syst Rev</w:t>
      </w:r>
      <w:r w:rsidR="00F35A54">
        <w:rPr>
          <w:color w:val="000000"/>
        </w:rPr>
        <w:t>. 2018</w:t>
      </w:r>
      <w:r w:rsidR="00F35A54" w:rsidRPr="00F35A54">
        <w:rPr>
          <w:color w:val="000000"/>
        </w:rPr>
        <w:t>;3:CD003313.</w:t>
      </w:r>
    </w:p>
    <w:p w:rsidR="00500D4A" w:rsidRDefault="00500D4A"/>
    <w:sectPr w:rsidR="00500D4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007" w:rsidRDefault="00AD6007">
      <w:r>
        <w:separator/>
      </w:r>
    </w:p>
  </w:endnote>
  <w:endnote w:type="continuationSeparator" w:id="0">
    <w:p w:rsidR="00AD6007" w:rsidRDefault="00AD6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007" w:rsidRDefault="00AD6007">
      <w:r>
        <w:separator/>
      </w:r>
    </w:p>
  </w:footnote>
  <w:footnote w:type="continuationSeparator" w:id="0">
    <w:p w:rsidR="00AD6007" w:rsidRDefault="00AD6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318" w:rsidRDefault="007B3D9D" w:rsidP="00DA7318">
    <w:pPr>
      <w:tabs>
        <w:tab w:val="center" w:pos="4680"/>
        <w:tab w:val="right" w:pos="9360"/>
      </w:tabs>
      <w:rPr>
        <w:rFonts w:ascii="Calibri" w:eastAsia="Calibri" w:hAnsi="Calibri"/>
      </w:rPr>
    </w:pPr>
    <w:r>
      <w:rPr>
        <w:rFonts w:ascii="Calibri" w:eastAsia="Calibri" w:hAnsi="Calibri"/>
      </w:rPr>
      <w:t>Neonatology 8</w:t>
    </w:r>
    <w:r>
      <w:rPr>
        <w:rFonts w:ascii="Calibri" w:eastAsia="Calibri" w:hAnsi="Calibri"/>
        <w:vertAlign w:val="superscript"/>
      </w:rPr>
      <w:t>th</w:t>
    </w:r>
    <w:r>
      <w:rPr>
        <w:rFonts w:ascii="Calibri" w:eastAsia="Calibri" w:hAnsi="Calibri"/>
      </w:rPr>
      <w:t xml:space="preserve"> Ed. </w:t>
    </w:r>
    <w:r>
      <w:rPr>
        <w:rFonts w:ascii="Calibri" w:eastAsia="Calibri" w:hAnsi="Calibri"/>
      </w:rPr>
      <w:tab/>
    </w:r>
    <w:r w:rsidRPr="00F035DB">
      <w:rPr>
        <w:rFonts w:ascii="Calibri" w:eastAsia="Calibri" w:hAnsi="Calibri"/>
      </w:rPr>
      <w:t>85 ABO Incompatibility</w:t>
    </w:r>
    <w:r>
      <w:rPr>
        <w:rFonts w:ascii="Calibri" w:eastAsia="Calibri" w:hAnsi="Calibri"/>
      </w:rPr>
      <w:t xml:space="preserve">        Page </w:t>
    </w:r>
    <w:r>
      <w:rPr>
        <w:rFonts w:ascii="Calibri" w:eastAsia="Calibri" w:hAnsi="Calibri"/>
        <w:b/>
      </w:rPr>
      <w:fldChar w:fldCharType="begin"/>
    </w:r>
    <w:r>
      <w:rPr>
        <w:rFonts w:ascii="Calibri" w:eastAsia="Calibri" w:hAnsi="Calibri"/>
        <w:b/>
      </w:rPr>
      <w:instrText xml:space="preserve"> PAGE  \* Arabic  \* MERGEFORMAT </w:instrText>
    </w:r>
    <w:r>
      <w:rPr>
        <w:rFonts w:ascii="Calibri" w:eastAsia="Calibri" w:hAnsi="Calibri"/>
        <w:b/>
      </w:rPr>
      <w:fldChar w:fldCharType="separate"/>
    </w:r>
    <w:r w:rsidR="00FE190C">
      <w:rPr>
        <w:rFonts w:ascii="Calibri" w:eastAsia="Calibri" w:hAnsi="Calibri"/>
        <w:b/>
        <w:noProof/>
      </w:rPr>
      <w:t>1</w:t>
    </w:r>
    <w:r>
      <w:rPr>
        <w:rFonts w:ascii="Calibri" w:eastAsia="Calibri" w:hAnsi="Calibri"/>
        <w:b/>
      </w:rPr>
      <w:fldChar w:fldCharType="end"/>
    </w:r>
    <w:r>
      <w:rPr>
        <w:rFonts w:ascii="Calibri" w:eastAsia="Calibri" w:hAnsi="Calibri"/>
      </w:rPr>
      <w:t xml:space="preserve"> of </w:t>
    </w:r>
    <w:r>
      <w:rPr>
        <w:rFonts w:ascii="Calibri" w:eastAsia="Calibri" w:hAnsi="Calibri"/>
        <w:b/>
      </w:rPr>
      <w:fldChar w:fldCharType="begin"/>
    </w:r>
    <w:r>
      <w:rPr>
        <w:rFonts w:ascii="Calibri" w:eastAsia="Calibri" w:hAnsi="Calibri"/>
        <w:b/>
      </w:rPr>
      <w:instrText xml:space="preserve"> NUMPAGES  \* Arabic  \* MERGEFORMAT </w:instrText>
    </w:r>
    <w:r>
      <w:rPr>
        <w:rFonts w:ascii="Calibri" w:eastAsia="Calibri" w:hAnsi="Calibri"/>
        <w:b/>
      </w:rPr>
      <w:fldChar w:fldCharType="separate"/>
    </w:r>
    <w:r w:rsidR="00FE190C">
      <w:rPr>
        <w:rFonts w:ascii="Calibri" w:eastAsia="Calibri" w:hAnsi="Calibri"/>
        <w:b/>
        <w:noProof/>
      </w:rPr>
      <w:t>1</w:t>
    </w:r>
    <w:r>
      <w:rPr>
        <w:rFonts w:ascii="Calibri" w:eastAsia="Calibri" w:hAnsi="Calibri"/>
        <w:b/>
      </w:rPr>
      <w:fldChar w:fldCharType="end"/>
    </w:r>
  </w:p>
  <w:p w:rsidR="00DA7318" w:rsidRDefault="00AD60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E5F"/>
    <w:rsid w:val="001D3E5F"/>
    <w:rsid w:val="00500D4A"/>
    <w:rsid w:val="007B3D9D"/>
    <w:rsid w:val="007B6C50"/>
    <w:rsid w:val="00871919"/>
    <w:rsid w:val="00AD6007"/>
    <w:rsid w:val="00E722FA"/>
    <w:rsid w:val="00EF1F22"/>
    <w:rsid w:val="00F000B7"/>
    <w:rsid w:val="00F35A54"/>
    <w:rsid w:val="00FE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E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3E5F"/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A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A54"/>
    <w:rPr>
      <w:rFonts w:ascii="Tahoma" w:eastAsia="Times New Roman" w:hAnsi="Tahoma" w:cs="Tahoma"/>
      <w:sz w:val="16"/>
      <w:szCs w:val="16"/>
      <w:lang w:bidi="he-IL"/>
    </w:rPr>
  </w:style>
  <w:style w:type="character" w:styleId="CommentReference">
    <w:name w:val="annotation reference"/>
    <w:basedOn w:val="DefaultParagraphFont"/>
    <w:uiPriority w:val="99"/>
    <w:semiHidden/>
    <w:unhideWhenUsed/>
    <w:rsid w:val="00EF1F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F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F22"/>
    <w:rPr>
      <w:rFonts w:ascii="Times New Roman" w:eastAsia="Times New Roman" w:hAnsi="Times New Roman" w:cs="Times New Roman"/>
      <w:sz w:val="20"/>
      <w:szCs w:val="20"/>
      <w:lang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F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F22"/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styleId="Footer">
    <w:name w:val="footer"/>
    <w:basedOn w:val="Normal"/>
    <w:link w:val="FooterChar"/>
    <w:uiPriority w:val="99"/>
    <w:unhideWhenUsed/>
    <w:rsid w:val="00EF1F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F22"/>
    <w:rPr>
      <w:rFonts w:ascii="Times New Roman" w:eastAsia="Times New Roman" w:hAnsi="Times New Roman" w:cs="Times New Roman"/>
      <w:sz w:val="24"/>
      <w:szCs w:val="24"/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E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3E5F"/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A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A54"/>
    <w:rPr>
      <w:rFonts w:ascii="Tahoma" w:eastAsia="Times New Roman" w:hAnsi="Tahoma" w:cs="Tahoma"/>
      <w:sz w:val="16"/>
      <w:szCs w:val="16"/>
      <w:lang w:bidi="he-IL"/>
    </w:rPr>
  </w:style>
  <w:style w:type="character" w:styleId="CommentReference">
    <w:name w:val="annotation reference"/>
    <w:basedOn w:val="DefaultParagraphFont"/>
    <w:uiPriority w:val="99"/>
    <w:semiHidden/>
    <w:unhideWhenUsed/>
    <w:rsid w:val="00EF1F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F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F22"/>
    <w:rPr>
      <w:rFonts w:ascii="Times New Roman" w:eastAsia="Times New Roman" w:hAnsi="Times New Roman" w:cs="Times New Roman"/>
      <w:sz w:val="20"/>
      <w:szCs w:val="20"/>
      <w:lang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F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F22"/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styleId="Footer">
    <w:name w:val="footer"/>
    <w:basedOn w:val="Normal"/>
    <w:link w:val="FooterChar"/>
    <w:uiPriority w:val="99"/>
    <w:unhideWhenUsed/>
    <w:rsid w:val="00EF1F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F22"/>
    <w:rPr>
      <w:rFonts w:ascii="Times New Roman" w:eastAsia="Times New Roman" w:hAnsi="Times New Roman" w:cs="Times New Roman"/>
      <w:sz w:val="24"/>
      <w:szCs w:val="2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Garima Poddar</dc:creator>
  <cp:keywords/>
  <dc:description/>
  <cp:lastModifiedBy>tania andrabi</cp:lastModifiedBy>
  <cp:revision>7</cp:revision>
  <dcterms:created xsi:type="dcterms:W3CDTF">2019-06-27T07:52:00Z</dcterms:created>
  <dcterms:modified xsi:type="dcterms:W3CDTF">2019-10-16T07:59:00Z</dcterms:modified>
</cp:coreProperties>
</file>