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837" w:type="pct"/>
        <w:tblBorders>
          <w:insideH w:val="single" w:sz="4" w:space="0" w:color="auto"/>
        </w:tblBorders>
        <w:tblLayout w:type="fixed"/>
        <w:tblCellMar>
          <w:left w:w="0" w:type="dxa"/>
          <w:right w:w="0" w:type="dxa"/>
        </w:tblCellMar>
        <w:tblLook w:val="0000" w:firstRow="0" w:lastRow="0" w:firstColumn="0" w:lastColumn="0" w:noHBand="0" w:noVBand="0"/>
      </w:tblPr>
      <w:tblGrid>
        <w:gridCol w:w="1112"/>
        <w:gridCol w:w="4199"/>
      </w:tblGrid>
      <w:tr w:rsidR="00033C9A" w:rsidRPr="00E038AA" w:rsidTr="00E038AA">
        <w:trPr>
          <w:trHeight w:val="60"/>
        </w:trPr>
        <w:tc>
          <w:tcPr>
            <w:tcW w:w="5000" w:type="pct"/>
            <w:gridSpan w:val="2"/>
            <w:tcMar>
              <w:top w:w="0" w:type="dxa"/>
              <w:left w:w="0" w:type="dxa"/>
              <w:bottom w:w="110" w:type="dxa"/>
              <w:right w:w="0" w:type="dxa"/>
            </w:tcMar>
          </w:tcPr>
          <w:p w:rsidR="00033C9A" w:rsidRPr="00E038AA" w:rsidRDefault="00033C9A" w:rsidP="000F66AA">
            <w:pPr>
              <w:pStyle w:val="tabletitle"/>
              <w:keepLines w:val="0"/>
              <w:spacing w:after="0" w:line="360" w:lineRule="auto"/>
              <w:rPr>
                <w:rFonts w:asciiTheme="minorHAnsi" w:hAnsiTheme="minorHAnsi" w:cstheme="minorHAnsi"/>
                <w:color w:val="auto"/>
                <w:spacing w:val="0"/>
                <w:sz w:val="14"/>
                <w:szCs w:val="14"/>
              </w:rPr>
            </w:pPr>
            <w:r w:rsidRPr="00E038AA">
              <w:rPr>
                <w:rStyle w:val="tablenumber"/>
                <w:rFonts w:asciiTheme="minorHAnsi" w:hAnsiTheme="minorHAnsi" w:cstheme="minorHAnsi"/>
                <w:b/>
                <w:bCs/>
                <w:iCs/>
                <w:color w:val="auto"/>
                <w:spacing w:val="0"/>
                <w:sz w:val="14"/>
                <w:szCs w:val="14"/>
              </w:rPr>
              <w:t>T</w:t>
            </w:r>
            <w:r w:rsidR="00AA21F8" w:rsidRPr="00E038AA">
              <w:rPr>
                <w:rStyle w:val="tablenumber"/>
                <w:rFonts w:asciiTheme="minorHAnsi" w:hAnsiTheme="minorHAnsi" w:cstheme="minorHAnsi"/>
                <w:b/>
                <w:bCs/>
                <w:iCs/>
                <w:caps w:val="0"/>
                <w:color w:val="auto"/>
                <w:spacing w:val="0"/>
                <w:sz w:val="14"/>
                <w:szCs w:val="14"/>
              </w:rPr>
              <w:t>able</w:t>
            </w:r>
            <w:r w:rsidRPr="00E038AA">
              <w:rPr>
                <w:rStyle w:val="tablenumber"/>
                <w:rFonts w:asciiTheme="minorHAnsi" w:hAnsiTheme="minorHAnsi" w:cstheme="minorHAnsi"/>
                <w:b/>
                <w:bCs/>
                <w:iCs/>
                <w:color w:val="auto"/>
                <w:spacing w:val="0"/>
                <w:sz w:val="14"/>
                <w:szCs w:val="14"/>
              </w:rPr>
              <w:t xml:space="preserve"> 58–1.</w:t>
            </w:r>
            <w:r w:rsidRPr="00E038AA">
              <w:rPr>
                <w:rFonts w:asciiTheme="minorHAnsi" w:hAnsiTheme="minorHAnsi" w:cstheme="minorHAnsi"/>
                <w:b/>
                <w:bCs/>
                <w:iCs/>
                <w:color w:val="auto"/>
                <w:spacing w:val="0"/>
                <w:sz w:val="14"/>
                <w:szCs w:val="14"/>
              </w:rPr>
              <w:t> </w:t>
            </w:r>
            <w:r w:rsidRPr="00E038AA">
              <w:rPr>
                <w:rFonts w:asciiTheme="minorHAnsi" w:hAnsiTheme="minorHAnsi" w:cstheme="minorHAnsi"/>
                <w:b/>
                <w:bCs/>
                <w:iCs/>
                <w:color w:val="auto"/>
                <w:spacing w:val="0"/>
                <w:sz w:val="14"/>
                <w:szCs w:val="14"/>
              </w:rPr>
              <w:t>SOCIETY AND ORGANIZATION RECOMMENDATIONS FOR OPHTHALMIC NEONATORUM PROPHYLAXIS</w:t>
            </w:r>
          </w:p>
        </w:tc>
      </w:tr>
      <w:tr w:rsidR="00033C9A" w:rsidRPr="00E038AA" w:rsidTr="00E038AA">
        <w:trPr>
          <w:trHeight w:val="60"/>
        </w:trPr>
        <w:tc>
          <w:tcPr>
            <w:tcW w:w="1047"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Style w:val="boldtab"/>
                <w:rFonts w:asciiTheme="minorHAnsi" w:hAnsiTheme="minorHAnsi" w:cstheme="minorHAnsi"/>
                <w:b/>
                <w:bCs/>
                <w:iCs/>
                <w:color w:val="auto"/>
                <w:sz w:val="14"/>
                <w:szCs w:val="14"/>
              </w:rPr>
              <w:t>AAP</w:t>
            </w:r>
          </w:p>
        </w:tc>
        <w:tc>
          <w:tcPr>
            <w:tcW w:w="3953"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Universal prophylaxis of all newborns shortly after birth with 0.5% ophthalmic erythromycin ointment. Erythromycin is the only antibiotic ointment recommended. If not available, see AAP alternative recommendations.</w:t>
            </w:r>
          </w:p>
        </w:tc>
      </w:tr>
      <w:tr w:rsidR="00033C9A" w:rsidRPr="00E038AA" w:rsidTr="00E038AA">
        <w:trPr>
          <w:trHeight w:val="60"/>
        </w:trPr>
        <w:tc>
          <w:tcPr>
            <w:tcW w:w="1047"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Style w:val="boldtab"/>
                <w:rFonts w:asciiTheme="minorHAnsi" w:hAnsiTheme="minorHAnsi" w:cstheme="minorHAnsi"/>
                <w:b/>
                <w:bCs/>
                <w:iCs/>
                <w:color w:val="auto"/>
                <w:sz w:val="14"/>
                <w:szCs w:val="14"/>
              </w:rPr>
              <w:t>USPSTF</w:t>
            </w:r>
          </w:p>
        </w:tc>
        <w:tc>
          <w:tcPr>
            <w:tcW w:w="3953"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All newborns within 24 hours after birth: 0.5% erythromycin ophthalmic ointment, 1% silver nitrate solution, 1% tetracycline ointment. All equally effective but latter 2 not available in the United States.</w:t>
            </w:r>
          </w:p>
        </w:tc>
      </w:tr>
      <w:tr w:rsidR="00033C9A" w:rsidRPr="00E038AA" w:rsidTr="00E038AA">
        <w:trPr>
          <w:trHeight w:val="60"/>
        </w:trPr>
        <w:tc>
          <w:tcPr>
            <w:tcW w:w="1047"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Style w:val="boldtab"/>
                <w:rFonts w:asciiTheme="minorHAnsi" w:hAnsiTheme="minorHAnsi" w:cstheme="minorHAnsi"/>
                <w:b/>
                <w:bCs/>
                <w:iCs/>
                <w:color w:val="auto"/>
                <w:sz w:val="14"/>
                <w:szCs w:val="14"/>
              </w:rPr>
              <w:t>CDC</w:t>
            </w:r>
          </w:p>
        </w:tc>
        <w:tc>
          <w:tcPr>
            <w:tcW w:w="3953"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All newborns as soon as possible after birth. Erythromycin 0.5% ophthalmic ointment in each eye single application. If not available, in infants at risk for </w:t>
            </w:r>
            <w:r w:rsidRPr="00E038AA">
              <w:rPr>
                <w:rStyle w:val="italictab"/>
                <w:rFonts w:asciiTheme="minorHAnsi" w:hAnsiTheme="minorHAnsi" w:cstheme="minorHAnsi"/>
                <w:color w:val="auto"/>
                <w:sz w:val="14"/>
                <w:szCs w:val="14"/>
              </w:rPr>
              <w:t>Neisseria gonorrhoeae</w:t>
            </w:r>
            <w:r w:rsidRPr="00E038AA">
              <w:rPr>
                <w:rFonts w:asciiTheme="minorHAnsi" w:hAnsiTheme="minorHAnsi" w:cstheme="minorHAnsi"/>
                <w:color w:val="auto"/>
                <w:sz w:val="14"/>
                <w:szCs w:val="14"/>
              </w:rPr>
              <w:t>, give ceftriaxone 25–50 mg/kg intravenously or intramuscularly (125-mg maximum single dose).</w:t>
            </w:r>
          </w:p>
        </w:tc>
      </w:tr>
      <w:tr w:rsidR="00033C9A" w:rsidRPr="00E038AA" w:rsidTr="00E038AA">
        <w:trPr>
          <w:trHeight w:val="60"/>
        </w:trPr>
        <w:tc>
          <w:tcPr>
            <w:tcW w:w="1047"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Style w:val="boldtab"/>
                <w:rFonts w:asciiTheme="minorHAnsi" w:hAnsiTheme="minorHAnsi" w:cstheme="minorHAnsi"/>
                <w:b/>
                <w:bCs/>
                <w:iCs/>
                <w:color w:val="auto"/>
                <w:sz w:val="14"/>
                <w:szCs w:val="14"/>
              </w:rPr>
              <w:t>CPS</w:t>
            </w:r>
          </w:p>
        </w:tc>
        <w:tc>
          <w:tcPr>
            <w:tcW w:w="3953" w:type="pct"/>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Erythromycin ocular prophylaxis may no longer be useful and should not be routinely recommended. The CPS recommends maternal screening over eye prophylaxis. If prophylaxis must be given (based on territorial regulations), use erythromycin ophthalmic ointment 0.5%.</w:t>
            </w:r>
          </w:p>
        </w:tc>
      </w:tr>
      <w:tr w:rsidR="00033C9A" w:rsidRPr="00E038AA" w:rsidTr="00E038AA">
        <w:trPr>
          <w:trHeight w:val="60"/>
        </w:trPr>
        <w:tc>
          <w:tcPr>
            <w:tcW w:w="1047" w:type="pct"/>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Style w:val="boldtab"/>
                <w:rFonts w:asciiTheme="minorHAnsi" w:hAnsiTheme="minorHAnsi" w:cstheme="minorHAnsi"/>
                <w:b/>
                <w:bCs/>
                <w:iCs/>
                <w:color w:val="auto"/>
                <w:sz w:val="14"/>
                <w:szCs w:val="14"/>
              </w:rPr>
              <w:t>WHO</w:t>
            </w:r>
          </w:p>
        </w:tc>
        <w:tc>
          <w:tcPr>
            <w:tcW w:w="3953" w:type="pct"/>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For all infants, topical application to both eyes immediately after birth. WHO suggests 1 of the following: erythromycin 0.5% eye ointment, tetracycline hydrochloride 1% eye ointment, silver nitrate 1% solution, povidone-iodine 2.5% solution (water based); do not use alcohol-based povidone-iodine solution or chloramphenicol 1% eye ointment.</w:t>
            </w:r>
          </w:p>
        </w:tc>
      </w:tr>
      <w:tr w:rsidR="00033C9A" w:rsidRPr="00E038AA" w:rsidTr="00E038AA">
        <w:trPr>
          <w:trHeight w:val="60"/>
        </w:trPr>
        <w:tc>
          <w:tcPr>
            <w:tcW w:w="5000" w:type="pct"/>
            <w:gridSpan w:val="2"/>
            <w:tcMar>
              <w:top w:w="80" w:type="dxa"/>
              <w:left w:w="0" w:type="dxa"/>
              <w:bottom w:w="80" w:type="dxa"/>
              <w:right w:w="0" w:type="dxa"/>
            </w:tcMar>
          </w:tcPr>
          <w:p w:rsidR="00033C9A" w:rsidRPr="00E038AA" w:rsidRDefault="00033C9A" w:rsidP="000F66AA">
            <w:pPr>
              <w:pStyle w:val="tablefootnote"/>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AAP, American Academy of Pediatrics (https://redbook.solutions.aap.org/chapter.aspx?sectionid=88187322&amp;bookid=1484); CDC, Centers for Disease Control and Prevention (https://www.cdc.gov/std/tg2015/gonorrhea.htm#op-neo); CPS, Canadian Pediatric Society (https://www.cps.ca/en/documents/position/ophthalmia-neonatorum); USPSTF, US Preventive Services Task Force (https://www.uspreventiveservicestaskforce.org/Page/Document/UpdateSummaryFinal/ocular-prophylaxis-for-gonococcal-ophthalmia-neonatorum-preventive-medication); WHO, World Health Organization (http://apps.who.int/medicinedocs/en/d/Jh2942e/4.1.3.html).</w:t>
            </w:r>
          </w:p>
        </w:tc>
      </w:tr>
    </w:tbl>
    <w:p w:rsidR="00F138DB" w:rsidRPr="00E038AA" w:rsidRDefault="00F138DB" w:rsidP="000F66AA">
      <w:pPr>
        <w:pStyle w:val="BasicParagraph"/>
        <w:suppressAutoHyphens/>
        <w:spacing w:line="360" w:lineRule="auto"/>
        <w:rPr>
          <w:rFonts w:asciiTheme="minorHAnsi" w:hAnsiTheme="minorHAnsi" w:cstheme="minorHAnsi"/>
          <w:bCs/>
          <w:iCs/>
          <w:color w:val="auto"/>
          <w:sz w:val="14"/>
          <w:szCs w:val="14"/>
        </w:rPr>
        <w:sectPr w:rsidR="00F138DB" w:rsidRPr="00E038AA" w:rsidSect="00CD00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pPr>
    </w:p>
    <w:p w:rsidR="00033C9A" w:rsidRPr="00E038AA" w:rsidRDefault="00033C9A" w:rsidP="000F66AA">
      <w:pPr>
        <w:pStyle w:val="BasicParagraph"/>
        <w:suppressAutoHyphens/>
        <w:spacing w:line="360" w:lineRule="auto"/>
        <w:rPr>
          <w:rFonts w:asciiTheme="minorHAnsi" w:hAnsiTheme="minorHAnsi" w:cstheme="minorHAnsi"/>
          <w:bCs/>
          <w:iCs/>
          <w:color w:val="auto"/>
          <w:sz w:val="14"/>
          <w:szCs w:val="14"/>
        </w:rPr>
      </w:pPr>
    </w:p>
    <w:tbl>
      <w:tblPr>
        <w:tblW w:w="4167" w:type="pct"/>
        <w:tblBorders>
          <w:insideH w:val="single" w:sz="4" w:space="0" w:color="auto"/>
        </w:tblBorders>
        <w:tblLayout w:type="fixed"/>
        <w:tblCellMar>
          <w:left w:w="0" w:type="dxa"/>
          <w:right w:w="0" w:type="dxa"/>
        </w:tblCellMar>
        <w:tblLook w:val="0000" w:firstRow="0" w:lastRow="0" w:firstColumn="0" w:lastColumn="0" w:noHBand="0" w:noVBand="0"/>
      </w:tblPr>
      <w:tblGrid>
        <w:gridCol w:w="1378"/>
        <w:gridCol w:w="888"/>
        <w:gridCol w:w="1329"/>
        <w:gridCol w:w="1117"/>
        <w:gridCol w:w="950"/>
        <w:gridCol w:w="1845"/>
        <w:gridCol w:w="983"/>
        <w:gridCol w:w="1443"/>
        <w:gridCol w:w="525"/>
        <w:gridCol w:w="343"/>
      </w:tblGrid>
      <w:tr w:rsidR="00033C9A" w:rsidRPr="00E038AA" w:rsidTr="00E038AA">
        <w:trPr>
          <w:gridAfter w:val="5"/>
          <w:wAfter w:w="2379" w:type="pct"/>
          <w:trHeight w:val="396"/>
        </w:trPr>
        <w:tc>
          <w:tcPr>
            <w:tcW w:w="2621" w:type="pct"/>
            <w:gridSpan w:val="5"/>
            <w:tcBorders>
              <w:top w:val="nil"/>
              <w:bottom w:val="single" w:sz="4" w:space="0" w:color="auto"/>
            </w:tcBorders>
            <w:shd w:val="clear" w:color="auto" w:fill="auto"/>
            <w:tcMar>
              <w:top w:w="0" w:type="dxa"/>
              <w:left w:w="0" w:type="dxa"/>
              <w:bottom w:w="110" w:type="dxa"/>
              <w:right w:w="0" w:type="dxa"/>
            </w:tcMar>
          </w:tcPr>
          <w:p w:rsidR="00033C9A" w:rsidRPr="00E038AA" w:rsidRDefault="00F138DB" w:rsidP="000F66AA">
            <w:pPr>
              <w:pStyle w:val="tabletitle"/>
              <w:keepLines w:val="0"/>
              <w:spacing w:after="0" w:line="360" w:lineRule="auto"/>
              <w:rPr>
                <w:rFonts w:asciiTheme="minorHAnsi" w:hAnsiTheme="minorHAnsi" w:cstheme="minorHAnsi"/>
                <w:color w:val="auto"/>
                <w:spacing w:val="0"/>
                <w:sz w:val="14"/>
                <w:szCs w:val="14"/>
              </w:rPr>
            </w:pPr>
            <w:r w:rsidRPr="00E038AA">
              <w:rPr>
                <w:rStyle w:val="tablenumber"/>
                <w:rFonts w:asciiTheme="minorHAnsi" w:hAnsiTheme="minorHAnsi" w:cstheme="minorHAnsi"/>
                <w:b/>
                <w:bCs/>
                <w:iCs/>
                <w:caps w:val="0"/>
                <w:color w:val="auto"/>
                <w:spacing w:val="0"/>
                <w:sz w:val="14"/>
                <w:szCs w:val="14"/>
              </w:rPr>
              <w:t>Table</w:t>
            </w:r>
            <w:r w:rsidR="00033C9A" w:rsidRPr="00E038AA">
              <w:rPr>
                <w:rStyle w:val="tablenumber"/>
                <w:rFonts w:asciiTheme="minorHAnsi" w:hAnsiTheme="minorHAnsi" w:cstheme="minorHAnsi"/>
                <w:b/>
                <w:bCs/>
                <w:iCs/>
                <w:color w:val="auto"/>
                <w:spacing w:val="0"/>
                <w:sz w:val="14"/>
                <w:szCs w:val="14"/>
              </w:rPr>
              <w:t xml:space="preserve"> 58–2.</w:t>
            </w:r>
            <w:r w:rsidR="00033C9A" w:rsidRPr="00E038AA">
              <w:rPr>
                <w:rFonts w:asciiTheme="minorHAnsi" w:hAnsiTheme="minorHAnsi" w:cstheme="minorHAnsi"/>
                <w:b/>
                <w:bCs/>
                <w:iCs/>
                <w:color w:val="auto"/>
                <w:spacing w:val="0"/>
                <w:sz w:val="14"/>
                <w:szCs w:val="14"/>
              </w:rPr>
              <w:t> </w:t>
            </w:r>
            <w:r w:rsidR="00033C9A" w:rsidRPr="00E038AA">
              <w:rPr>
                <w:rFonts w:asciiTheme="minorHAnsi" w:hAnsiTheme="minorHAnsi" w:cstheme="minorHAnsi"/>
                <w:b/>
                <w:bCs/>
                <w:iCs/>
                <w:color w:val="auto"/>
                <w:spacing w:val="0"/>
                <w:sz w:val="14"/>
                <w:szCs w:val="14"/>
              </w:rPr>
              <w:t>AGENTS FOR CONJUNCTIVITIS PROPHYLAXIS</w:t>
            </w:r>
          </w:p>
        </w:tc>
      </w:tr>
      <w:tr w:rsidR="00AF4C19" w:rsidRPr="00E038AA" w:rsidTr="00E038AA">
        <w:trPr>
          <w:trHeight w:val="60"/>
        </w:trPr>
        <w:tc>
          <w:tcPr>
            <w:tcW w:w="638"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Medication</w:t>
            </w:r>
          </w:p>
        </w:tc>
        <w:tc>
          <w:tcPr>
            <w:tcW w:w="411" w:type="pct"/>
            <w:tcBorders>
              <w:top w:val="single" w:sz="4" w:space="0" w:color="auto"/>
              <w:bottom w:val="single" w:sz="4" w:space="0" w:color="auto"/>
            </w:tcBorders>
            <w:shd w:val="clear" w:color="auto" w:fill="auto"/>
            <w:tcMar>
              <w:top w:w="130" w:type="dxa"/>
              <w:left w:w="0" w:type="dxa"/>
              <w:bottom w:w="130" w:type="dxa"/>
              <w:right w:w="20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Form</w:t>
            </w:r>
          </w:p>
        </w:tc>
        <w:tc>
          <w:tcPr>
            <w:tcW w:w="615" w:type="pct"/>
            <w:tcBorders>
              <w:top w:val="single" w:sz="4" w:space="0" w:color="auto"/>
              <w:bottom w:val="single" w:sz="4" w:space="0" w:color="auto"/>
            </w:tcBorders>
            <w:shd w:val="clear" w:color="auto" w:fill="auto"/>
            <w:tcMar>
              <w:top w:w="130" w:type="dxa"/>
              <w:left w:w="0" w:type="dxa"/>
              <w:bottom w:w="130" w:type="dxa"/>
              <w:right w:w="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Concentration</w:t>
            </w:r>
          </w:p>
        </w:tc>
        <w:tc>
          <w:tcPr>
            <w:tcW w:w="517"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Frequency</w:t>
            </w:r>
          </w:p>
        </w:tc>
        <w:tc>
          <w:tcPr>
            <w:tcW w:w="440" w:type="pct"/>
            <w:tcBorders>
              <w:top w:val="single" w:sz="4" w:space="0" w:color="auto"/>
              <w:bottom w:val="single" w:sz="4" w:space="0" w:color="auto"/>
            </w:tcBorders>
            <w:shd w:val="clear" w:color="auto" w:fill="auto"/>
            <w:tcMar>
              <w:top w:w="130" w:type="dxa"/>
              <w:left w:w="0" w:type="dxa"/>
              <w:bottom w:w="130" w:type="dxa"/>
              <w:right w:w="24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Class</w:t>
            </w:r>
          </w:p>
        </w:tc>
        <w:tc>
          <w:tcPr>
            <w:tcW w:w="854"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Indication</w:t>
            </w:r>
          </w:p>
        </w:tc>
        <w:tc>
          <w:tcPr>
            <w:tcW w:w="455"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Side Effects</w:t>
            </w:r>
          </w:p>
        </w:tc>
        <w:tc>
          <w:tcPr>
            <w:tcW w:w="668" w:type="pct"/>
            <w:tcBorders>
              <w:top w:val="single" w:sz="4" w:space="0" w:color="auto"/>
              <w:bottom w:val="single" w:sz="4" w:space="0" w:color="auto"/>
            </w:tcBorders>
            <w:shd w:val="clear" w:color="auto" w:fill="auto"/>
            <w:tcMar>
              <w:top w:w="130" w:type="dxa"/>
              <w:left w:w="0" w:type="dxa"/>
              <w:bottom w:w="130" w:type="dxa"/>
              <w:right w:w="16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Availability</w:t>
            </w:r>
          </w:p>
        </w:tc>
        <w:tc>
          <w:tcPr>
            <w:tcW w:w="402" w:type="pct"/>
            <w:gridSpan w:val="2"/>
            <w:tcBorders>
              <w:top w:val="single" w:sz="4" w:space="0" w:color="auto"/>
              <w:bottom w:val="single" w:sz="4" w:space="0" w:color="auto"/>
            </w:tcBorders>
            <w:shd w:val="clear" w:color="auto" w:fill="auto"/>
            <w:tcMar>
              <w:top w:w="130" w:type="dxa"/>
              <w:left w:w="0" w:type="dxa"/>
              <w:bottom w:w="130" w:type="dxa"/>
              <w:right w:w="10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Organizations That Recommend Agent</w:t>
            </w:r>
          </w:p>
        </w:tc>
      </w:tr>
      <w:tr w:rsidR="00AF4C19" w:rsidRPr="00E038AA" w:rsidTr="00E038AA">
        <w:trPr>
          <w:gridAfter w:val="1"/>
          <w:wAfter w:w="159" w:type="pct"/>
          <w:trHeight w:val="60"/>
        </w:trPr>
        <w:tc>
          <w:tcPr>
            <w:tcW w:w="638"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Erythromycin</w:t>
            </w:r>
          </w:p>
        </w:tc>
        <w:tc>
          <w:tcPr>
            <w:tcW w:w="411"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615"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ind w:left="260"/>
              <w:rPr>
                <w:rFonts w:asciiTheme="minorHAnsi" w:hAnsiTheme="minorHAnsi" w:cstheme="minorHAnsi"/>
                <w:color w:val="auto"/>
                <w:sz w:val="14"/>
                <w:szCs w:val="14"/>
              </w:rPr>
            </w:pPr>
            <w:r w:rsidRPr="00E038AA">
              <w:rPr>
                <w:rFonts w:asciiTheme="minorHAnsi" w:hAnsiTheme="minorHAnsi" w:cstheme="minorHAnsi"/>
                <w:color w:val="auto"/>
                <w:sz w:val="14"/>
                <w:szCs w:val="14"/>
              </w:rPr>
              <w:t>0.50%</w:t>
            </w:r>
          </w:p>
        </w:tc>
        <w:tc>
          <w:tcPr>
            <w:tcW w:w="517"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jc w:val="center"/>
              <w:rPr>
                <w:rFonts w:asciiTheme="minorHAnsi" w:hAnsiTheme="minorHAnsi" w:cstheme="minorHAnsi"/>
                <w:color w:val="auto"/>
                <w:sz w:val="14"/>
                <w:szCs w:val="14"/>
              </w:rPr>
            </w:pPr>
            <w:r w:rsidRPr="00E038AA">
              <w:rPr>
                <w:rFonts w:asciiTheme="minorHAnsi" w:hAnsiTheme="minorHAnsi" w:cstheme="minorHAnsi"/>
                <w:color w:val="auto"/>
                <w:sz w:val="14"/>
                <w:szCs w:val="14"/>
              </w:rPr>
              <w:t>1 time</w:t>
            </w:r>
          </w:p>
        </w:tc>
        <w:tc>
          <w:tcPr>
            <w:tcW w:w="440"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Macrolide antibiotic</w:t>
            </w:r>
          </w:p>
        </w:tc>
        <w:tc>
          <w:tcPr>
            <w:tcW w:w="854"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Prophylaxis of gonococcal ophthalmia neonatorum</w:t>
            </w:r>
          </w:p>
        </w:tc>
        <w:tc>
          <w:tcPr>
            <w:tcW w:w="455"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r w:rsidRPr="00E038AA">
              <w:rPr>
                <w:rStyle w:val="tablesup"/>
                <w:rFonts w:asciiTheme="minorHAnsi" w:hAnsiTheme="minorHAnsi" w:cstheme="minorHAnsi"/>
                <w:b/>
                <w:bCs/>
                <w:i/>
                <w:iCs/>
                <w:color w:val="auto"/>
                <w:sz w:val="14"/>
                <w:szCs w:val="14"/>
              </w:rPr>
              <w:t>a</w:t>
            </w:r>
          </w:p>
        </w:tc>
        <w:tc>
          <w:tcPr>
            <w:tcW w:w="668"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Global</w:t>
            </w:r>
          </w:p>
        </w:tc>
        <w:tc>
          <w:tcPr>
            <w:tcW w:w="243"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AAP, CDC, USPSTF, WHO</w:t>
            </w:r>
          </w:p>
        </w:tc>
      </w:tr>
      <w:tr w:rsidR="00AF4C19" w:rsidRPr="00E038AA" w:rsidTr="00E038AA">
        <w:trPr>
          <w:gridAfter w:val="1"/>
          <w:wAfter w:w="159" w:type="pct"/>
          <w:trHeight w:val="60"/>
        </w:trPr>
        <w:tc>
          <w:tcPr>
            <w:tcW w:w="638"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Silver nitrate</w:t>
            </w:r>
          </w:p>
        </w:tc>
        <w:tc>
          <w:tcPr>
            <w:tcW w:w="411"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615"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ind w:left="260"/>
              <w:rPr>
                <w:rFonts w:asciiTheme="minorHAnsi" w:hAnsiTheme="minorHAnsi" w:cstheme="minorHAnsi"/>
                <w:color w:val="auto"/>
                <w:sz w:val="14"/>
                <w:szCs w:val="14"/>
              </w:rPr>
            </w:pPr>
            <w:r w:rsidRPr="00E038AA">
              <w:rPr>
                <w:rFonts w:asciiTheme="minorHAnsi" w:hAnsiTheme="minorHAnsi" w:cstheme="minorHAnsi"/>
                <w:color w:val="auto"/>
                <w:sz w:val="14"/>
                <w:szCs w:val="14"/>
              </w:rPr>
              <w:t>1%</w:t>
            </w:r>
          </w:p>
        </w:tc>
        <w:tc>
          <w:tcPr>
            <w:tcW w:w="517"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jc w:val="center"/>
              <w:rPr>
                <w:rFonts w:asciiTheme="minorHAnsi" w:hAnsiTheme="minorHAnsi" w:cstheme="minorHAnsi"/>
                <w:color w:val="auto"/>
                <w:sz w:val="14"/>
                <w:szCs w:val="14"/>
              </w:rPr>
            </w:pPr>
            <w:r w:rsidRPr="00E038AA">
              <w:rPr>
                <w:rFonts w:asciiTheme="minorHAnsi" w:hAnsiTheme="minorHAnsi" w:cstheme="minorHAnsi"/>
                <w:color w:val="auto"/>
                <w:sz w:val="14"/>
                <w:szCs w:val="14"/>
              </w:rPr>
              <w:t>1 time</w:t>
            </w:r>
          </w:p>
        </w:tc>
        <w:tc>
          <w:tcPr>
            <w:tcW w:w="440"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Astringent</w:t>
            </w:r>
          </w:p>
        </w:tc>
        <w:tc>
          <w:tcPr>
            <w:tcW w:w="854"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Prophylaxis of gonococcal ophthalmia neonatorum</w:t>
            </w:r>
          </w:p>
        </w:tc>
        <w:tc>
          <w:tcPr>
            <w:tcW w:w="455"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c>
          <w:tcPr>
            <w:tcW w:w="668"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Not in United States</w:t>
            </w:r>
          </w:p>
        </w:tc>
        <w:tc>
          <w:tcPr>
            <w:tcW w:w="243"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USPSTF, WHO</w:t>
            </w:r>
          </w:p>
        </w:tc>
      </w:tr>
      <w:tr w:rsidR="00AF4C19" w:rsidRPr="00E038AA" w:rsidTr="00E038AA">
        <w:trPr>
          <w:gridAfter w:val="1"/>
          <w:wAfter w:w="159" w:type="pct"/>
          <w:trHeight w:val="60"/>
        </w:trPr>
        <w:tc>
          <w:tcPr>
            <w:tcW w:w="638"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Tetracycline</w:t>
            </w:r>
          </w:p>
        </w:tc>
        <w:tc>
          <w:tcPr>
            <w:tcW w:w="411"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615"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ind w:left="260"/>
              <w:rPr>
                <w:rFonts w:asciiTheme="minorHAnsi" w:hAnsiTheme="minorHAnsi" w:cstheme="minorHAnsi"/>
                <w:color w:val="auto"/>
                <w:sz w:val="14"/>
                <w:szCs w:val="14"/>
              </w:rPr>
            </w:pPr>
            <w:r w:rsidRPr="00E038AA">
              <w:rPr>
                <w:rFonts w:asciiTheme="minorHAnsi" w:hAnsiTheme="minorHAnsi" w:cstheme="minorHAnsi"/>
                <w:color w:val="auto"/>
                <w:sz w:val="14"/>
                <w:szCs w:val="14"/>
              </w:rPr>
              <w:t>1%</w:t>
            </w:r>
          </w:p>
        </w:tc>
        <w:tc>
          <w:tcPr>
            <w:tcW w:w="517"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jc w:val="center"/>
              <w:rPr>
                <w:rFonts w:asciiTheme="minorHAnsi" w:hAnsiTheme="minorHAnsi" w:cstheme="minorHAnsi"/>
                <w:color w:val="auto"/>
                <w:sz w:val="14"/>
                <w:szCs w:val="14"/>
              </w:rPr>
            </w:pPr>
            <w:r w:rsidRPr="00E038AA">
              <w:rPr>
                <w:rFonts w:asciiTheme="minorHAnsi" w:hAnsiTheme="minorHAnsi" w:cstheme="minorHAnsi"/>
                <w:color w:val="auto"/>
                <w:sz w:val="14"/>
                <w:szCs w:val="14"/>
              </w:rPr>
              <w:t>1 time</w:t>
            </w:r>
          </w:p>
        </w:tc>
        <w:tc>
          <w:tcPr>
            <w:tcW w:w="440"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Tetracycline antibiotic</w:t>
            </w:r>
          </w:p>
        </w:tc>
        <w:tc>
          <w:tcPr>
            <w:tcW w:w="854"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Prophylaxis of gonococcal ophthalmia neonatorum</w:t>
            </w:r>
          </w:p>
        </w:tc>
        <w:tc>
          <w:tcPr>
            <w:tcW w:w="455"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c>
          <w:tcPr>
            <w:tcW w:w="668"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Not in United States</w:t>
            </w:r>
          </w:p>
        </w:tc>
        <w:tc>
          <w:tcPr>
            <w:tcW w:w="243"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USPSTF, WHO</w:t>
            </w:r>
          </w:p>
        </w:tc>
      </w:tr>
      <w:tr w:rsidR="00AF4C19" w:rsidRPr="00E038AA" w:rsidTr="00E038AA">
        <w:trPr>
          <w:gridAfter w:val="1"/>
          <w:wAfter w:w="159" w:type="pct"/>
          <w:trHeight w:val="60"/>
        </w:trPr>
        <w:tc>
          <w:tcPr>
            <w:tcW w:w="638"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Povidone-iodine</w:t>
            </w:r>
          </w:p>
        </w:tc>
        <w:tc>
          <w:tcPr>
            <w:tcW w:w="411"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615"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ind w:left="260"/>
              <w:rPr>
                <w:rFonts w:asciiTheme="minorHAnsi" w:hAnsiTheme="minorHAnsi" w:cstheme="minorHAnsi"/>
                <w:color w:val="auto"/>
                <w:sz w:val="14"/>
                <w:szCs w:val="14"/>
              </w:rPr>
            </w:pPr>
            <w:r w:rsidRPr="00E038AA">
              <w:rPr>
                <w:rFonts w:asciiTheme="minorHAnsi" w:hAnsiTheme="minorHAnsi" w:cstheme="minorHAnsi"/>
                <w:color w:val="auto"/>
                <w:sz w:val="14"/>
                <w:szCs w:val="14"/>
              </w:rPr>
              <w:t>1.25%, 2.5%</w:t>
            </w:r>
          </w:p>
        </w:tc>
        <w:tc>
          <w:tcPr>
            <w:tcW w:w="517"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jc w:val="center"/>
              <w:rPr>
                <w:rFonts w:asciiTheme="minorHAnsi" w:hAnsiTheme="minorHAnsi" w:cstheme="minorHAnsi"/>
                <w:color w:val="auto"/>
                <w:sz w:val="14"/>
                <w:szCs w:val="14"/>
              </w:rPr>
            </w:pPr>
            <w:r w:rsidRPr="00E038AA">
              <w:rPr>
                <w:rFonts w:asciiTheme="minorHAnsi" w:hAnsiTheme="minorHAnsi" w:cstheme="minorHAnsi"/>
                <w:color w:val="auto"/>
                <w:sz w:val="14"/>
                <w:szCs w:val="14"/>
              </w:rPr>
              <w:t>1 time</w:t>
            </w:r>
          </w:p>
        </w:tc>
        <w:tc>
          <w:tcPr>
            <w:tcW w:w="440"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Antiseptic</w:t>
            </w:r>
          </w:p>
        </w:tc>
        <w:tc>
          <w:tcPr>
            <w:tcW w:w="854"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Prophylaxis of gonococcal ophthalmia neonatorum</w:t>
            </w:r>
          </w:p>
        </w:tc>
        <w:tc>
          <w:tcPr>
            <w:tcW w:w="455"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c>
          <w:tcPr>
            <w:tcW w:w="668"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Global</w:t>
            </w:r>
          </w:p>
        </w:tc>
        <w:tc>
          <w:tcPr>
            <w:tcW w:w="243"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WHO</w:t>
            </w:r>
          </w:p>
        </w:tc>
      </w:tr>
      <w:tr w:rsidR="00AF4C19" w:rsidRPr="00E038AA" w:rsidTr="00E038AA">
        <w:trPr>
          <w:gridAfter w:val="1"/>
          <w:wAfter w:w="159" w:type="pct"/>
          <w:trHeight w:val="60"/>
        </w:trPr>
        <w:tc>
          <w:tcPr>
            <w:tcW w:w="638"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Chloramphenicol</w:t>
            </w:r>
          </w:p>
        </w:tc>
        <w:tc>
          <w:tcPr>
            <w:tcW w:w="411"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615"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ind w:left="260"/>
              <w:rPr>
                <w:rFonts w:asciiTheme="minorHAnsi" w:hAnsiTheme="minorHAnsi" w:cstheme="minorHAnsi"/>
                <w:color w:val="auto"/>
                <w:sz w:val="14"/>
                <w:szCs w:val="14"/>
              </w:rPr>
            </w:pPr>
            <w:r w:rsidRPr="00E038AA">
              <w:rPr>
                <w:rFonts w:asciiTheme="minorHAnsi" w:hAnsiTheme="minorHAnsi" w:cstheme="minorHAnsi"/>
                <w:color w:val="auto"/>
                <w:sz w:val="14"/>
                <w:szCs w:val="14"/>
              </w:rPr>
              <w:t>0.50%</w:t>
            </w:r>
          </w:p>
        </w:tc>
        <w:tc>
          <w:tcPr>
            <w:tcW w:w="517"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jc w:val="center"/>
              <w:rPr>
                <w:rFonts w:asciiTheme="minorHAnsi" w:hAnsiTheme="minorHAnsi" w:cstheme="minorHAnsi"/>
                <w:color w:val="auto"/>
                <w:sz w:val="14"/>
                <w:szCs w:val="14"/>
              </w:rPr>
            </w:pPr>
            <w:r w:rsidRPr="00E038AA">
              <w:rPr>
                <w:rFonts w:asciiTheme="minorHAnsi" w:hAnsiTheme="minorHAnsi" w:cstheme="minorHAnsi"/>
                <w:color w:val="auto"/>
                <w:sz w:val="14"/>
                <w:szCs w:val="14"/>
              </w:rPr>
              <w:t>1 time</w:t>
            </w:r>
          </w:p>
        </w:tc>
        <w:tc>
          <w:tcPr>
            <w:tcW w:w="440"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Synthetic antibiotic</w:t>
            </w:r>
          </w:p>
        </w:tc>
        <w:tc>
          <w:tcPr>
            <w:tcW w:w="854"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Prophylaxis of gonococcal ophthalmia neonatorum</w:t>
            </w:r>
          </w:p>
        </w:tc>
        <w:tc>
          <w:tcPr>
            <w:tcW w:w="455"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c>
          <w:tcPr>
            <w:tcW w:w="668"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Not in United States</w:t>
            </w:r>
          </w:p>
        </w:tc>
        <w:tc>
          <w:tcPr>
            <w:tcW w:w="243"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WHO</w:t>
            </w:r>
          </w:p>
        </w:tc>
      </w:tr>
      <w:tr w:rsidR="00033C9A" w:rsidRPr="00E038AA" w:rsidTr="00E038AA">
        <w:trPr>
          <w:gridAfter w:val="5"/>
          <w:wAfter w:w="2379" w:type="pct"/>
          <w:trHeight w:val="60"/>
        </w:trPr>
        <w:tc>
          <w:tcPr>
            <w:tcW w:w="2621" w:type="pct"/>
            <w:gridSpan w:val="5"/>
            <w:shd w:val="clear" w:color="auto" w:fill="auto"/>
            <w:tcMar>
              <w:top w:w="80" w:type="dxa"/>
              <w:left w:w="0" w:type="dxa"/>
              <w:bottom w:w="80" w:type="dxa"/>
              <w:right w:w="0" w:type="dxa"/>
            </w:tcMar>
          </w:tcPr>
          <w:p w:rsidR="00033C9A" w:rsidRPr="00E038AA" w:rsidRDefault="00033C9A" w:rsidP="000F66AA">
            <w:pPr>
              <w:pStyle w:val="tablefootnote"/>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AAP, American Academy of Pediatrics; CDC, Centers for Disease and Prevention; USPSTF, US Preventive Services Task Force; WHO, World Health Organization.</w:t>
            </w:r>
          </w:p>
          <w:p w:rsidR="00033C9A" w:rsidRPr="00E038AA" w:rsidRDefault="00033C9A" w:rsidP="000F66AA">
            <w:pPr>
              <w:pStyle w:val="tablefootnote"/>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Note. Routine prophylaxis with topical antibiotics carries the risk of resistance, especially in patients with ophthalmia neonatorum due to gonococcal infection. Povidone-iodine as a topical anti-infective appears to be an effective and cheap alternative. Further epidemiologic research and monitoring on the incidence of ophthalmia neonatorum and the prevalence of the various agents in different parts of the world are needed, so that prevention and treatment can be adjusted accordingly and experience with new options can be analyzed for wide use. See https://www.ncbi.nlm.nih.gov/pmc/articles/PMC2566367.</w:t>
            </w:r>
          </w:p>
          <w:p w:rsidR="00033C9A" w:rsidRPr="00E038AA" w:rsidRDefault="00033C9A" w:rsidP="000F66AA">
            <w:pPr>
              <w:pStyle w:val="tablefootnote"/>
              <w:suppressAutoHyphens/>
              <w:spacing w:line="360" w:lineRule="auto"/>
              <w:rPr>
                <w:rFonts w:asciiTheme="minorHAnsi" w:hAnsiTheme="minorHAnsi" w:cstheme="minorHAnsi"/>
                <w:color w:val="auto"/>
                <w:sz w:val="14"/>
                <w:szCs w:val="14"/>
              </w:rPr>
            </w:pPr>
            <w:r w:rsidRPr="00E038AA">
              <w:rPr>
                <w:rStyle w:val="tablefootnotesup"/>
                <w:rFonts w:asciiTheme="minorHAnsi" w:hAnsiTheme="minorHAnsi" w:cstheme="minorHAnsi"/>
                <w:color w:val="auto"/>
                <w:sz w:val="14"/>
                <w:szCs w:val="14"/>
              </w:rPr>
              <w:t>a</w:t>
            </w:r>
            <w:r w:rsidRPr="00E038AA">
              <w:rPr>
                <w:rFonts w:asciiTheme="minorHAnsi" w:hAnsiTheme="minorHAnsi" w:cstheme="minorHAnsi"/>
                <w:color w:val="auto"/>
                <w:sz w:val="14"/>
                <w:szCs w:val="14"/>
              </w:rPr>
              <w:t>Contact dermatitis side effects include blurred vision, eye irritation, eyelid erythema and edema, conjunctival hyperemia, and punctate keratitis.</w:t>
            </w:r>
          </w:p>
        </w:tc>
      </w:tr>
    </w:tbl>
    <w:p w:rsidR="00033C9A" w:rsidRPr="00E038AA" w:rsidRDefault="00033C9A" w:rsidP="000F66AA">
      <w:pPr>
        <w:pStyle w:val="BasicParagraph"/>
        <w:suppressAutoHyphens/>
        <w:spacing w:line="360" w:lineRule="auto"/>
        <w:rPr>
          <w:rFonts w:asciiTheme="minorHAnsi" w:hAnsiTheme="minorHAnsi" w:cstheme="minorHAnsi"/>
          <w:b/>
          <w:bCs/>
          <w:iCs/>
          <w:color w:val="auto"/>
          <w:sz w:val="14"/>
          <w:szCs w:val="14"/>
        </w:rPr>
      </w:pPr>
    </w:p>
    <w:p w:rsidR="00545412" w:rsidRPr="00E038AA" w:rsidRDefault="00545412" w:rsidP="000F66AA">
      <w:pPr>
        <w:pStyle w:val="BasicParagraph"/>
        <w:suppressAutoHyphens/>
        <w:spacing w:line="360" w:lineRule="auto"/>
        <w:rPr>
          <w:rFonts w:asciiTheme="minorHAnsi" w:hAnsiTheme="minorHAnsi" w:cstheme="minorHAnsi"/>
          <w:b/>
          <w:bCs/>
          <w:iCs/>
          <w:color w:val="auto"/>
          <w:sz w:val="14"/>
          <w:szCs w:val="14"/>
        </w:rPr>
      </w:pPr>
    </w:p>
    <w:p w:rsidR="00033C9A" w:rsidRPr="00E038AA" w:rsidRDefault="00033C9A" w:rsidP="000F66AA">
      <w:pPr>
        <w:pStyle w:val="BasicParagraph"/>
        <w:suppressAutoHyphens/>
        <w:spacing w:line="360" w:lineRule="auto"/>
        <w:rPr>
          <w:rFonts w:asciiTheme="minorHAnsi" w:hAnsiTheme="minorHAnsi" w:cstheme="minorHAnsi"/>
          <w:b/>
          <w:bCs/>
          <w:iCs/>
          <w:color w:val="auto"/>
          <w:sz w:val="14"/>
          <w:szCs w:val="14"/>
        </w:rPr>
      </w:pPr>
    </w:p>
    <w:p w:rsidR="00033C9A" w:rsidRPr="00E038AA" w:rsidRDefault="00033C9A" w:rsidP="000F66AA">
      <w:pPr>
        <w:pStyle w:val="BasicParagraph"/>
        <w:suppressAutoHyphens/>
        <w:spacing w:line="360" w:lineRule="auto"/>
        <w:rPr>
          <w:rFonts w:asciiTheme="minorHAnsi" w:hAnsiTheme="minorHAnsi" w:cstheme="minorHAnsi"/>
          <w:b/>
          <w:bCs/>
          <w:iCs/>
          <w:color w:val="auto"/>
          <w:sz w:val="14"/>
          <w:szCs w:val="14"/>
        </w:rPr>
      </w:pPr>
    </w:p>
    <w:tbl>
      <w:tblPr>
        <w:tblW w:w="2604" w:type="pct"/>
        <w:tblCellMar>
          <w:left w:w="0" w:type="dxa"/>
          <w:right w:w="0" w:type="dxa"/>
        </w:tblCellMar>
        <w:tblLook w:val="0000" w:firstRow="0" w:lastRow="0" w:firstColumn="0" w:lastColumn="0" w:noHBand="0" w:noVBand="0"/>
      </w:tblPr>
      <w:tblGrid>
        <w:gridCol w:w="1530"/>
        <w:gridCol w:w="1619"/>
        <w:gridCol w:w="1891"/>
        <w:gridCol w:w="1710"/>
      </w:tblGrid>
      <w:tr w:rsidR="00033C9A" w:rsidRPr="00E038AA" w:rsidTr="00E038AA">
        <w:trPr>
          <w:trHeight w:val="60"/>
        </w:trPr>
        <w:tc>
          <w:tcPr>
            <w:tcW w:w="5000" w:type="pct"/>
            <w:gridSpan w:val="4"/>
            <w:tcBorders>
              <w:bottom w:val="single" w:sz="4" w:space="0" w:color="auto"/>
            </w:tcBorders>
            <w:shd w:val="clear" w:color="auto" w:fill="auto"/>
            <w:tcMar>
              <w:top w:w="0" w:type="dxa"/>
              <w:left w:w="0" w:type="dxa"/>
              <w:bottom w:w="110" w:type="dxa"/>
              <w:right w:w="0" w:type="dxa"/>
            </w:tcMar>
          </w:tcPr>
          <w:p w:rsidR="00033C9A" w:rsidRPr="00E038AA" w:rsidRDefault="00545412" w:rsidP="000F66AA">
            <w:pPr>
              <w:pStyle w:val="tabletitle"/>
              <w:keepLines w:val="0"/>
              <w:spacing w:after="0" w:line="360" w:lineRule="auto"/>
              <w:rPr>
                <w:rFonts w:asciiTheme="minorHAnsi" w:hAnsiTheme="minorHAnsi" w:cstheme="minorHAnsi"/>
                <w:color w:val="auto"/>
                <w:spacing w:val="0"/>
                <w:sz w:val="14"/>
                <w:szCs w:val="14"/>
              </w:rPr>
            </w:pPr>
            <w:r w:rsidRPr="00E038AA">
              <w:rPr>
                <w:rStyle w:val="tablenumber"/>
                <w:rFonts w:asciiTheme="minorHAnsi" w:hAnsiTheme="minorHAnsi" w:cstheme="minorHAnsi"/>
                <w:b/>
                <w:bCs/>
                <w:iCs/>
                <w:caps w:val="0"/>
                <w:color w:val="auto"/>
                <w:spacing w:val="0"/>
                <w:sz w:val="14"/>
                <w:szCs w:val="14"/>
              </w:rPr>
              <w:t xml:space="preserve">Table </w:t>
            </w:r>
            <w:r w:rsidR="00033C9A" w:rsidRPr="00E038AA">
              <w:rPr>
                <w:rStyle w:val="tablenumber"/>
                <w:rFonts w:asciiTheme="minorHAnsi" w:hAnsiTheme="minorHAnsi" w:cstheme="minorHAnsi"/>
                <w:b/>
                <w:bCs/>
                <w:iCs/>
                <w:color w:val="auto"/>
                <w:spacing w:val="0"/>
                <w:sz w:val="14"/>
                <w:szCs w:val="14"/>
              </w:rPr>
              <w:t>58–3.</w:t>
            </w:r>
            <w:r w:rsidR="00033C9A" w:rsidRPr="00E038AA">
              <w:rPr>
                <w:rFonts w:asciiTheme="minorHAnsi" w:hAnsiTheme="minorHAnsi" w:cstheme="minorHAnsi"/>
                <w:b/>
                <w:bCs/>
                <w:iCs/>
                <w:color w:val="auto"/>
                <w:spacing w:val="0"/>
                <w:sz w:val="14"/>
                <w:szCs w:val="14"/>
              </w:rPr>
              <w:t> </w:t>
            </w:r>
            <w:r w:rsidR="00033C9A" w:rsidRPr="00E038AA">
              <w:rPr>
                <w:rFonts w:asciiTheme="minorHAnsi" w:hAnsiTheme="minorHAnsi" w:cstheme="minorHAnsi"/>
                <w:b/>
                <w:bCs/>
                <w:iCs/>
                <w:color w:val="auto"/>
                <w:spacing w:val="0"/>
                <w:sz w:val="14"/>
                <w:szCs w:val="14"/>
              </w:rPr>
              <w:t>COMMON CAUSES OF INFECTIOUS AND NONINFECTIOUS CONJUNCTIVITIS IN THE NEONATE</w:t>
            </w:r>
          </w:p>
        </w:tc>
      </w:tr>
      <w:tr w:rsidR="00E038AA" w:rsidRPr="00E038AA" w:rsidTr="00E038AA">
        <w:trPr>
          <w:trHeight w:val="60"/>
        </w:trPr>
        <w:tc>
          <w:tcPr>
            <w:tcW w:w="1133" w:type="pct"/>
            <w:tcBorders>
              <w:top w:val="single" w:sz="4" w:space="0" w:color="auto"/>
              <w:bottom w:val="single" w:sz="4" w:space="0" w:color="auto"/>
            </w:tcBorders>
            <w:shd w:val="clear" w:color="auto" w:fill="auto"/>
            <w:tcMar>
              <w:top w:w="130" w:type="dxa"/>
              <w:left w:w="0" w:type="dxa"/>
              <w:bottom w:w="130" w:type="dxa"/>
              <w:right w:w="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Chemical</w:t>
            </w:r>
          </w:p>
        </w:tc>
        <w:tc>
          <w:tcPr>
            <w:tcW w:w="1199" w:type="pct"/>
            <w:tcBorders>
              <w:top w:val="single" w:sz="4" w:space="0" w:color="auto"/>
              <w:bottom w:val="single" w:sz="4" w:space="0" w:color="auto"/>
            </w:tcBorders>
            <w:shd w:val="clear" w:color="auto" w:fill="auto"/>
            <w:tcMar>
              <w:top w:w="130" w:type="dxa"/>
              <w:left w:w="0" w:type="dxa"/>
              <w:bottom w:w="130" w:type="dxa"/>
              <w:right w:w="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Viral</w:t>
            </w:r>
          </w:p>
        </w:tc>
        <w:tc>
          <w:tcPr>
            <w:tcW w:w="1401" w:type="pct"/>
            <w:tcBorders>
              <w:top w:val="single" w:sz="4" w:space="0" w:color="auto"/>
              <w:bottom w:val="single" w:sz="4" w:space="0" w:color="auto"/>
            </w:tcBorders>
            <w:shd w:val="clear" w:color="auto" w:fill="auto"/>
            <w:tcMar>
              <w:top w:w="130" w:type="dxa"/>
              <w:left w:w="0" w:type="dxa"/>
              <w:bottom w:w="130" w:type="dxa"/>
              <w:right w:w="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Bacterial Gram Negative</w:t>
            </w:r>
          </w:p>
        </w:tc>
        <w:tc>
          <w:tcPr>
            <w:tcW w:w="1267" w:type="pct"/>
            <w:tcBorders>
              <w:top w:val="single" w:sz="4" w:space="0" w:color="auto"/>
              <w:bottom w:val="single" w:sz="4" w:space="0" w:color="auto"/>
            </w:tcBorders>
            <w:shd w:val="clear" w:color="auto" w:fill="auto"/>
            <w:tcMar>
              <w:top w:w="130" w:type="dxa"/>
              <w:left w:w="0" w:type="dxa"/>
              <w:bottom w:w="130" w:type="dxa"/>
              <w:right w:w="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Bacterial Gram Positive</w:t>
            </w:r>
          </w:p>
        </w:tc>
      </w:tr>
      <w:tr w:rsidR="00E038AA" w:rsidRPr="00E038AA" w:rsidTr="00E038AA">
        <w:trPr>
          <w:trHeight w:val="60"/>
        </w:trPr>
        <w:tc>
          <w:tcPr>
            <w:tcW w:w="1133" w:type="pct"/>
            <w:tcBorders>
              <w:top w:val="single" w:sz="4" w:space="0" w:color="auto"/>
              <w:bottom w:val="single" w:sz="4" w:space="0" w:color="auto"/>
            </w:tcBorders>
            <w:shd w:val="clear" w:color="auto" w:fill="auto"/>
            <w:tcMar>
              <w:top w:w="80" w:type="dxa"/>
              <w:left w:w="0" w:type="dxa"/>
              <w:bottom w:w="80" w:type="dxa"/>
              <w:right w:w="200" w:type="dxa"/>
            </w:tcMar>
          </w:tcPr>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Silver nitrate (most common)</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Povidone-iodine solution</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Tetracycline</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Gentamicin</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Erythromycin</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Chloramphenicol</w:t>
            </w:r>
          </w:p>
        </w:tc>
        <w:tc>
          <w:tcPr>
            <w:tcW w:w="1199" w:type="pct"/>
            <w:tcBorders>
              <w:top w:val="single" w:sz="4" w:space="0" w:color="auto"/>
              <w:bottom w:val="single" w:sz="4" w:space="0" w:color="auto"/>
            </w:tcBorders>
            <w:shd w:val="clear" w:color="auto" w:fill="auto"/>
            <w:tcMar>
              <w:top w:w="80" w:type="dxa"/>
              <w:left w:w="0" w:type="dxa"/>
              <w:bottom w:w="80" w:type="dxa"/>
              <w:right w:w="200" w:type="dxa"/>
            </w:tcMar>
          </w:tcPr>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Herpes simplex virus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Adenovirus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Enterovirus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Parechovirus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Zika virus (perinatal transmission)</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Chikungunya (perinatal transmission)</w:t>
            </w:r>
          </w:p>
        </w:tc>
        <w:tc>
          <w:tcPr>
            <w:tcW w:w="1401" w:type="pct"/>
            <w:tcBorders>
              <w:top w:val="single" w:sz="4" w:space="0" w:color="auto"/>
              <w:bottom w:val="single" w:sz="4" w:space="0" w:color="auto"/>
            </w:tcBorders>
            <w:shd w:val="clear" w:color="auto" w:fill="auto"/>
            <w:tcMar>
              <w:top w:w="80" w:type="dxa"/>
              <w:left w:w="0" w:type="dxa"/>
              <w:bottom w:w="80" w:type="dxa"/>
              <w:right w:w="200" w:type="dxa"/>
            </w:tcMar>
          </w:tcPr>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Chlamydia trachomatis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Neisseria gonorrhoeae</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Pseudomonas aeruginosa</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Klebsiella pneumoniae</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Escherichia coli</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Serratia marcescens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Enterobacter</w:t>
            </w:r>
            <w:r w:rsidRPr="00E038AA">
              <w:rPr>
                <w:rFonts w:asciiTheme="minorHAnsi" w:hAnsiTheme="minorHAnsi" w:cstheme="minorHAnsi"/>
                <w:color w:val="auto"/>
                <w:sz w:val="14"/>
                <w:szCs w:val="14"/>
              </w:rPr>
              <w:t xml:space="preserve"> spp.</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Haemophilus influenzae</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Neisseria mucosa</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Proteus</w:t>
            </w:r>
            <w:r w:rsidRPr="00E038AA">
              <w:rPr>
                <w:rFonts w:asciiTheme="minorHAnsi" w:hAnsiTheme="minorHAnsi" w:cstheme="minorHAnsi"/>
                <w:color w:val="auto"/>
                <w:sz w:val="14"/>
                <w:szCs w:val="14"/>
              </w:rPr>
              <w:t xml:space="preserve"> spp.</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Neisseria cinerea</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Eikenella corrodens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Acinetobacter baumannii</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Moraxella catarrhalis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Neisseria meningitides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Stenotrophomonas maltophilia</w:t>
            </w:r>
          </w:p>
        </w:tc>
        <w:tc>
          <w:tcPr>
            <w:tcW w:w="1267" w:type="pct"/>
            <w:tcBorders>
              <w:top w:val="single" w:sz="4" w:space="0" w:color="auto"/>
              <w:bottom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Staphylococcus aureus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Staphylococcus epidermidis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Streptococcus pneumoniae</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Streptococcus viridans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Methicillin-resistant </w:t>
            </w:r>
            <w:r w:rsidRPr="00E038AA">
              <w:rPr>
                <w:rStyle w:val="italictab"/>
                <w:rFonts w:asciiTheme="minorHAnsi" w:hAnsiTheme="minorHAnsi" w:cstheme="minorHAnsi"/>
                <w:color w:val="auto"/>
                <w:sz w:val="14"/>
                <w:szCs w:val="14"/>
              </w:rPr>
              <w:t>S aureus</w:t>
            </w:r>
            <w:r w:rsidRPr="00E038AA">
              <w:rPr>
                <w:rFonts w:asciiTheme="minorHAnsi" w:hAnsiTheme="minorHAnsi" w:cstheme="minorHAnsi"/>
                <w:color w:val="auto"/>
                <w:sz w:val="14"/>
                <w:szCs w:val="14"/>
              </w:rPr>
              <w:t xml:space="preserve"> (MRSA)</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Streptococcus haemolyticus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Streptococcus mitis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Streptococcus marcescens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Group A and B </w:t>
            </w:r>
            <w:r w:rsidRPr="00E038AA">
              <w:rPr>
                <w:rStyle w:val="italictab"/>
                <w:rFonts w:asciiTheme="minorHAnsi" w:hAnsiTheme="minorHAnsi" w:cstheme="minorHAnsi"/>
                <w:color w:val="auto"/>
                <w:sz w:val="14"/>
                <w:szCs w:val="14"/>
              </w:rPr>
              <w:t>Streptococcus</w:t>
            </w:r>
          </w:p>
          <w:p w:rsidR="00033C9A" w:rsidRPr="00E038AA" w:rsidRDefault="00033C9A" w:rsidP="000F66AA">
            <w:pPr>
              <w:pStyle w:val="tabletext"/>
              <w:suppressAutoHyphens/>
              <w:spacing w:line="360" w:lineRule="auto"/>
              <w:ind w:left="158" w:hanging="158"/>
              <w:rPr>
                <w:rFonts w:asciiTheme="minorHAnsi" w:hAnsiTheme="minorHAnsi" w:cstheme="minorHAnsi"/>
                <w:color w:val="auto"/>
                <w:sz w:val="14"/>
                <w:szCs w:val="14"/>
              </w:rPr>
            </w:pPr>
            <w:r w:rsidRPr="00E038AA">
              <w:rPr>
                <w:rStyle w:val="italictab"/>
                <w:rFonts w:asciiTheme="minorHAnsi" w:hAnsiTheme="minorHAnsi" w:cstheme="minorHAnsi"/>
                <w:color w:val="auto"/>
                <w:sz w:val="14"/>
                <w:szCs w:val="14"/>
              </w:rPr>
              <w:t>Corynebacterium</w:t>
            </w:r>
            <w:r w:rsidRPr="00E038AA">
              <w:rPr>
                <w:rFonts w:asciiTheme="minorHAnsi" w:hAnsiTheme="minorHAnsi" w:cstheme="minorHAnsi"/>
                <w:color w:val="auto"/>
                <w:sz w:val="14"/>
                <w:szCs w:val="14"/>
              </w:rPr>
              <w:t xml:space="preserve"> spp.</w:t>
            </w:r>
          </w:p>
        </w:tc>
      </w:tr>
    </w:tbl>
    <w:p w:rsidR="00033C9A" w:rsidRPr="00E038AA" w:rsidRDefault="00033C9A" w:rsidP="000F66AA">
      <w:pPr>
        <w:pStyle w:val="BasicParagraph"/>
        <w:suppressAutoHyphens/>
        <w:spacing w:line="360" w:lineRule="auto"/>
        <w:rPr>
          <w:rFonts w:asciiTheme="minorHAnsi" w:hAnsiTheme="minorHAnsi" w:cstheme="minorHAnsi"/>
          <w:b/>
          <w:bCs/>
          <w:iCs/>
          <w:color w:val="auto"/>
          <w:sz w:val="14"/>
          <w:szCs w:val="14"/>
        </w:rPr>
      </w:pPr>
    </w:p>
    <w:p w:rsidR="00545412" w:rsidRPr="00E038AA" w:rsidRDefault="00545412" w:rsidP="000F66AA">
      <w:pPr>
        <w:pStyle w:val="BasicParagraph"/>
        <w:suppressAutoHyphens/>
        <w:spacing w:line="360" w:lineRule="auto"/>
        <w:rPr>
          <w:rFonts w:asciiTheme="minorHAnsi" w:hAnsiTheme="minorHAnsi" w:cstheme="minorHAnsi"/>
          <w:b/>
          <w:bCs/>
          <w:iCs/>
          <w:color w:val="auto"/>
          <w:sz w:val="14"/>
          <w:szCs w:val="14"/>
        </w:rPr>
      </w:pPr>
    </w:p>
    <w:p w:rsidR="00033C9A" w:rsidRPr="00E038AA" w:rsidRDefault="00033C9A" w:rsidP="000F66AA">
      <w:pPr>
        <w:pStyle w:val="BasicParagraph"/>
        <w:suppressAutoHyphens/>
        <w:spacing w:line="360" w:lineRule="auto"/>
        <w:rPr>
          <w:rFonts w:asciiTheme="minorHAnsi" w:hAnsiTheme="minorHAnsi" w:cstheme="minorHAnsi"/>
          <w:b/>
          <w:bCs/>
          <w:iCs/>
          <w:color w:val="auto"/>
          <w:sz w:val="14"/>
          <w:szCs w:val="14"/>
        </w:rPr>
      </w:pPr>
    </w:p>
    <w:p w:rsidR="00033C9A" w:rsidRPr="00E038AA" w:rsidRDefault="00033C9A" w:rsidP="000F66AA">
      <w:pPr>
        <w:pStyle w:val="BasicParagraph"/>
        <w:suppressAutoHyphens/>
        <w:spacing w:line="360" w:lineRule="auto"/>
        <w:rPr>
          <w:rFonts w:asciiTheme="minorHAnsi" w:hAnsiTheme="minorHAnsi" w:cstheme="minorHAnsi"/>
          <w:b/>
          <w:bCs/>
          <w:iCs/>
          <w:color w:val="auto"/>
          <w:sz w:val="14"/>
          <w:szCs w:val="14"/>
        </w:rPr>
      </w:pPr>
    </w:p>
    <w:tbl>
      <w:tblPr>
        <w:tblW w:w="3333" w:type="pct"/>
        <w:tblBorders>
          <w:insideH w:val="single" w:sz="4" w:space="0" w:color="auto"/>
        </w:tblBorders>
        <w:tblLayout w:type="fixed"/>
        <w:tblCellMar>
          <w:left w:w="0" w:type="dxa"/>
          <w:right w:w="0" w:type="dxa"/>
        </w:tblCellMar>
        <w:tblLook w:val="0000" w:firstRow="0" w:lastRow="0" w:firstColumn="0" w:lastColumn="0" w:noHBand="0" w:noVBand="0"/>
      </w:tblPr>
      <w:tblGrid>
        <w:gridCol w:w="1157"/>
        <w:gridCol w:w="1001"/>
        <w:gridCol w:w="541"/>
        <w:gridCol w:w="1170"/>
        <w:gridCol w:w="1260"/>
        <w:gridCol w:w="2440"/>
        <w:gridCol w:w="1070"/>
      </w:tblGrid>
      <w:tr w:rsidR="00033C9A" w:rsidRPr="00E038AA" w:rsidTr="00E038AA">
        <w:trPr>
          <w:trHeight w:val="60"/>
        </w:trPr>
        <w:tc>
          <w:tcPr>
            <w:tcW w:w="5000" w:type="pct"/>
            <w:gridSpan w:val="7"/>
            <w:tcBorders>
              <w:top w:val="nil"/>
              <w:bottom w:val="single" w:sz="4" w:space="0" w:color="auto"/>
            </w:tcBorders>
            <w:shd w:val="clear" w:color="auto" w:fill="auto"/>
            <w:tcMar>
              <w:top w:w="0" w:type="dxa"/>
              <w:left w:w="0" w:type="dxa"/>
              <w:bottom w:w="110" w:type="dxa"/>
              <w:right w:w="0" w:type="dxa"/>
            </w:tcMar>
          </w:tcPr>
          <w:p w:rsidR="00033C9A" w:rsidRPr="00E038AA" w:rsidRDefault="00545412" w:rsidP="000F66AA">
            <w:pPr>
              <w:pStyle w:val="tabletitle"/>
              <w:keepLines w:val="0"/>
              <w:spacing w:after="0" w:line="360" w:lineRule="auto"/>
              <w:rPr>
                <w:rFonts w:asciiTheme="minorHAnsi" w:hAnsiTheme="minorHAnsi" w:cstheme="minorHAnsi"/>
                <w:color w:val="auto"/>
                <w:spacing w:val="0"/>
                <w:sz w:val="14"/>
                <w:szCs w:val="14"/>
              </w:rPr>
            </w:pPr>
            <w:r w:rsidRPr="00E038AA">
              <w:rPr>
                <w:rStyle w:val="tablenumber"/>
                <w:rFonts w:asciiTheme="minorHAnsi" w:hAnsiTheme="minorHAnsi" w:cstheme="minorHAnsi"/>
                <w:b/>
                <w:bCs/>
                <w:iCs/>
                <w:caps w:val="0"/>
                <w:color w:val="auto"/>
                <w:spacing w:val="0"/>
                <w:sz w:val="14"/>
                <w:szCs w:val="14"/>
              </w:rPr>
              <w:t>Table</w:t>
            </w:r>
            <w:r w:rsidR="00033C9A" w:rsidRPr="00E038AA">
              <w:rPr>
                <w:rStyle w:val="tablenumber"/>
                <w:rFonts w:asciiTheme="minorHAnsi" w:hAnsiTheme="minorHAnsi" w:cstheme="minorHAnsi"/>
                <w:b/>
                <w:bCs/>
                <w:iCs/>
                <w:color w:val="auto"/>
                <w:spacing w:val="0"/>
                <w:sz w:val="14"/>
                <w:szCs w:val="14"/>
              </w:rPr>
              <w:t xml:space="preserve"> 58–4.</w:t>
            </w:r>
            <w:r w:rsidR="00033C9A" w:rsidRPr="00E038AA">
              <w:rPr>
                <w:rFonts w:asciiTheme="minorHAnsi" w:hAnsiTheme="minorHAnsi" w:cstheme="minorHAnsi"/>
                <w:b/>
                <w:bCs/>
                <w:iCs/>
                <w:color w:val="auto"/>
                <w:spacing w:val="0"/>
                <w:sz w:val="14"/>
                <w:szCs w:val="14"/>
              </w:rPr>
              <w:t> </w:t>
            </w:r>
            <w:r w:rsidR="00033C9A" w:rsidRPr="00E038AA">
              <w:rPr>
                <w:rFonts w:asciiTheme="minorHAnsi" w:hAnsiTheme="minorHAnsi" w:cstheme="minorHAnsi"/>
                <w:b/>
                <w:bCs/>
                <w:iCs/>
                <w:color w:val="auto"/>
                <w:spacing w:val="0"/>
                <w:sz w:val="14"/>
                <w:szCs w:val="14"/>
              </w:rPr>
              <w:t>COMMON TOPICAL AGENTS TO TREAT CONJUNCTIVITIS</w:t>
            </w:r>
          </w:p>
        </w:tc>
      </w:tr>
      <w:tr w:rsidR="00E038AA" w:rsidRPr="00E038AA" w:rsidTr="00E038AA">
        <w:trPr>
          <w:trHeight w:val="60"/>
        </w:trPr>
        <w:tc>
          <w:tcPr>
            <w:tcW w:w="670"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Medication</w:t>
            </w:r>
          </w:p>
        </w:tc>
        <w:tc>
          <w:tcPr>
            <w:tcW w:w="580"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Form</w:t>
            </w:r>
          </w:p>
        </w:tc>
        <w:tc>
          <w:tcPr>
            <w:tcW w:w="313"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Concentration</w:t>
            </w:r>
          </w:p>
        </w:tc>
        <w:tc>
          <w:tcPr>
            <w:tcW w:w="677"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Frequency</w:t>
            </w:r>
          </w:p>
        </w:tc>
        <w:tc>
          <w:tcPr>
            <w:tcW w:w="729"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Class</w:t>
            </w:r>
          </w:p>
        </w:tc>
        <w:tc>
          <w:tcPr>
            <w:tcW w:w="1412" w:type="pct"/>
            <w:tcBorders>
              <w:top w:val="single" w:sz="4" w:space="0" w:color="auto"/>
              <w:bottom w:val="single" w:sz="4" w:space="0" w:color="auto"/>
            </w:tcBorders>
            <w:shd w:val="clear" w:color="auto" w:fill="auto"/>
            <w:tcMar>
              <w:top w:w="130" w:type="dxa"/>
              <w:left w:w="0" w:type="dxa"/>
              <w:bottom w:w="130" w:type="dxa"/>
              <w:right w:w="12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Indication</w:t>
            </w:r>
          </w:p>
        </w:tc>
        <w:tc>
          <w:tcPr>
            <w:tcW w:w="619" w:type="pct"/>
            <w:tcBorders>
              <w:top w:val="single" w:sz="4" w:space="0" w:color="auto"/>
              <w:bottom w:val="single" w:sz="4" w:space="0" w:color="auto"/>
            </w:tcBorders>
            <w:shd w:val="clear" w:color="auto" w:fill="auto"/>
            <w:tcMar>
              <w:top w:w="130" w:type="dxa"/>
              <w:left w:w="0" w:type="dxa"/>
              <w:bottom w:w="130" w:type="dxa"/>
              <w:right w:w="0" w:type="dxa"/>
            </w:tcMar>
            <w:vAlign w:val="bottom"/>
          </w:tcPr>
          <w:p w:rsidR="00033C9A" w:rsidRPr="00E038AA" w:rsidRDefault="00033C9A" w:rsidP="000F66AA">
            <w:pPr>
              <w:pStyle w:val="tablecolumnhead"/>
              <w:keepLines w:val="0"/>
              <w:spacing w:before="0" w:after="0" w:line="360" w:lineRule="auto"/>
              <w:rPr>
                <w:rFonts w:asciiTheme="minorHAnsi" w:hAnsiTheme="minorHAnsi" w:cstheme="minorHAnsi"/>
                <w:color w:val="auto"/>
                <w:spacing w:val="0"/>
                <w:sz w:val="14"/>
                <w:szCs w:val="14"/>
              </w:rPr>
            </w:pPr>
            <w:r w:rsidRPr="00E038AA">
              <w:rPr>
                <w:rFonts w:asciiTheme="minorHAnsi" w:hAnsiTheme="minorHAnsi" w:cstheme="minorHAnsi"/>
                <w:b/>
                <w:bCs/>
                <w:iCs/>
                <w:color w:val="auto"/>
                <w:spacing w:val="0"/>
                <w:sz w:val="14"/>
                <w:szCs w:val="14"/>
                <w:lang w:val="en-US"/>
              </w:rPr>
              <w:t>Side Effects</w:t>
            </w:r>
          </w:p>
        </w:tc>
      </w:tr>
      <w:tr w:rsidR="00E038AA" w:rsidRPr="00E038AA" w:rsidTr="00E038AA">
        <w:trPr>
          <w:trHeight w:val="60"/>
        </w:trPr>
        <w:tc>
          <w:tcPr>
            <w:tcW w:w="670" w:type="pct"/>
            <w:tcBorders>
              <w:top w:val="single" w:sz="4" w:space="0" w:color="auto"/>
            </w:tcBorders>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Acyclovir</w:t>
            </w:r>
          </w:p>
        </w:tc>
        <w:tc>
          <w:tcPr>
            <w:tcW w:w="580" w:type="pct"/>
            <w:tcBorders>
              <w:top w:val="single" w:sz="4" w:space="0" w:color="auto"/>
            </w:tcBorders>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Ophthalmic </w:t>
            </w:r>
            <w:r w:rsidRPr="00E038AA">
              <w:rPr>
                <w:rFonts w:asciiTheme="minorHAnsi" w:hAnsiTheme="minorHAnsi" w:cstheme="minorHAnsi"/>
                <w:color w:val="auto"/>
                <w:sz w:val="14"/>
                <w:szCs w:val="14"/>
              </w:rPr>
              <w:lastRenderedPageBreak/>
              <w:t>ointment</w:t>
            </w:r>
          </w:p>
        </w:tc>
        <w:tc>
          <w:tcPr>
            <w:tcW w:w="313" w:type="pct"/>
            <w:tcBorders>
              <w:top w:val="single" w:sz="4" w:space="0" w:color="auto"/>
            </w:tcBorders>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lastRenderedPageBreak/>
              <w:t>3%</w:t>
            </w:r>
          </w:p>
        </w:tc>
        <w:tc>
          <w:tcPr>
            <w:tcW w:w="677" w:type="pct"/>
            <w:tcBorders>
              <w:top w:val="single" w:sz="4" w:space="0" w:color="auto"/>
            </w:tcBorders>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tcBorders>
              <w:top w:val="single" w:sz="4" w:space="0" w:color="auto"/>
            </w:tcBorders>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Antiviral</w:t>
            </w:r>
          </w:p>
        </w:tc>
        <w:tc>
          <w:tcPr>
            <w:tcW w:w="1412" w:type="pct"/>
            <w:tcBorders>
              <w:top w:val="single" w:sz="4" w:space="0" w:color="auto"/>
            </w:tcBorders>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Not currently commercially available</w:t>
            </w:r>
          </w:p>
        </w:tc>
        <w:tc>
          <w:tcPr>
            <w:tcW w:w="619" w:type="pct"/>
            <w:tcBorders>
              <w:top w:val="single" w:sz="4" w:space="0" w:color="auto"/>
            </w:tcBorders>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Contact </w:t>
            </w:r>
            <w:r w:rsidRPr="00E038AA">
              <w:rPr>
                <w:rFonts w:asciiTheme="minorHAnsi" w:hAnsiTheme="minorHAnsi" w:cstheme="minorHAnsi"/>
                <w:color w:val="auto"/>
                <w:sz w:val="14"/>
                <w:szCs w:val="14"/>
              </w:rPr>
              <w:lastRenderedPageBreak/>
              <w:t>dermatitis</w:t>
            </w:r>
            <w:r w:rsidRPr="00E038AA">
              <w:rPr>
                <w:rStyle w:val="sup"/>
                <w:rFonts w:asciiTheme="minorHAnsi" w:hAnsiTheme="minorHAnsi" w:cstheme="minorHAnsi"/>
                <w:color w:val="auto"/>
                <w:sz w:val="14"/>
                <w:szCs w:val="14"/>
              </w:rPr>
              <w:t>a</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lastRenderedPageBreak/>
              <w:t>Bacitracin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500 U/g</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Polypeptide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Gram-positive organisms such as staphylococci (including some penicillin-resistant staphylococci), streptococci, anaerobic cocci, corynebacteria, and clostridia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Chloramphenicol</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0.50%</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Synthetic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gram-positive bacteria and many gram-negative aerobic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Ciprofloxacin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 or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0.30%</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Fluoroquinolone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Most gram-negative aerobic bacteria and many gram-positive aerobic bacteria including Pseudomonas and </w:t>
            </w:r>
            <w:r w:rsidRPr="00E038AA">
              <w:rPr>
                <w:rStyle w:val="tableitalic"/>
                <w:rFonts w:asciiTheme="minorHAnsi" w:hAnsiTheme="minorHAnsi" w:cstheme="minorHAnsi"/>
                <w:color w:val="auto"/>
                <w:sz w:val="14"/>
                <w:szCs w:val="14"/>
              </w:rPr>
              <w:t>methicillin-resistant Staphylococcus</w:t>
            </w:r>
            <w:r w:rsidRPr="00E038AA">
              <w:rPr>
                <w:rFonts w:asciiTheme="minorHAnsi" w:hAnsiTheme="minorHAnsi" w:cstheme="minorHAnsi"/>
                <w:color w:val="auto"/>
                <w:sz w:val="14"/>
                <w:szCs w:val="14"/>
              </w:rPr>
              <w:t xml:space="preserve"> </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Erythromycin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0.50%</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Macrolide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Gram-positive cocci (staphylococci and streptococci) and gram-positive bacilli. Erythromycin also effective against some gram-negative cocci (Neisseria spp.) and some gram-negative bacilli including some H. influenzae and Moraxella lacunata. Erythromycin also active against Chlamydia and </w:t>
            </w:r>
            <w:r w:rsidRPr="00E038AA">
              <w:rPr>
                <w:rStyle w:val="tableitalic"/>
                <w:rFonts w:asciiTheme="minorHAnsi" w:hAnsiTheme="minorHAnsi" w:cstheme="minorHAnsi"/>
                <w:color w:val="auto"/>
                <w:sz w:val="14"/>
                <w:szCs w:val="14"/>
              </w:rPr>
              <w:t>Treponema</w:t>
            </w:r>
            <w:r w:rsidRPr="00E038AA">
              <w:rPr>
                <w:rFonts w:asciiTheme="minorHAnsi" w:hAnsiTheme="minorHAnsi" w:cstheme="minorHAnsi"/>
                <w:color w:val="auto"/>
                <w:sz w:val="14"/>
                <w:szCs w:val="14"/>
              </w:rPr>
              <w:t>.</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Ganciclovir</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gel</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0.15%</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5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Antiviral</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Herpetic keratitis caused by herpes simplex virus (HSV) type l or 2 (HSV-1 or HSV-2)</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Gentamicin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0.30%</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Aminoglycoside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gram-negative bacteria and some aerobic gram-positive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Iododeoxyuridine</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0.1%</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4–6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Antiviral</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Herpetic keratitis caused by herpes simplex virus (HSV) type 1 or 2 (HSV-1 or HSV-2)</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Conjunctival scarring</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Moxifloxacin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Ophthalmic </w:t>
            </w:r>
            <w:r w:rsidRPr="00E038AA">
              <w:rPr>
                <w:rFonts w:asciiTheme="minorHAnsi" w:hAnsiTheme="minorHAnsi" w:cstheme="minorHAnsi"/>
                <w:color w:val="auto"/>
                <w:sz w:val="14"/>
                <w:szCs w:val="14"/>
              </w:rPr>
              <w:lastRenderedPageBreak/>
              <w:t>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lastRenderedPageBreak/>
              <w:t>0.50%</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 xml:space="preserve">Fluoroquinolone </w:t>
            </w:r>
            <w:r w:rsidRPr="00E038AA">
              <w:rPr>
                <w:rFonts w:asciiTheme="minorHAnsi" w:hAnsiTheme="minorHAnsi" w:cstheme="minorHAnsi"/>
                <w:color w:val="auto"/>
                <w:sz w:val="14"/>
                <w:szCs w:val="14"/>
              </w:rPr>
              <w:lastRenderedPageBreak/>
              <w:t>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lastRenderedPageBreak/>
              <w:t xml:space="preserve">Aerobic gram-positive bacteria, some </w:t>
            </w:r>
            <w:r w:rsidRPr="00E038AA">
              <w:rPr>
                <w:rFonts w:asciiTheme="minorHAnsi" w:hAnsiTheme="minorHAnsi" w:cstheme="minorHAnsi"/>
                <w:color w:val="auto"/>
                <w:sz w:val="14"/>
                <w:szCs w:val="14"/>
              </w:rPr>
              <w:lastRenderedPageBreak/>
              <w:t>aerobic gram-negative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lastRenderedPageBreak/>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lastRenderedPageBreak/>
              <w:t>Neomycin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0.35%</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Aminoglycoside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gram-negative bacteria and some aerobic gram-positive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Polymyxin B</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10,000 U/g</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Polymyxin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and anaerobic gram-negative organisms</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Povidone-iodine</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1.25%, 2.5%, 5%</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1–6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Antiseptic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Wide range of bacteria, viruses, fungi, protozoa, and spores</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Sulfacetamide</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 or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10%</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Sulfonamide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and anaerobic gram-negative organisms</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Tetracycline</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1%</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Tetracycline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and anaerobic gram-negative and gram-positive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Tobramycin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 or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0.3% or 15 mg/mL</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Aminoglycoside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gram-negative bacteria and some aerobic gram-positive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Trifluridine</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1%</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Antiviral</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Herpetic keratitis caused by herpes simplex virus (HSV) type 1 or 2 (HSV-1 or HSV-2)</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Vancomycin</w:t>
            </w:r>
          </w:p>
        </w:tc>
        <w:tc>
          <w:tcPr>
            <w:tcW w:w="580"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solution</w:t>
            </w:r>
          </w:p>
        </w:tc>
        <w:tc>
          <w:tcPr>
            <w:tcW w:w="313"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25 mg/mL</w:t>
            </w:r>
          </w:p>
        </w:tc>
        <w:tc>
          <w:tcPr>
            <w:tcW w:w="677"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Tricyclic glycopeptide antibiotic</w:t>
            </w:r>
          </w:p>
        </w:tc>
        <w:tc>
          <w:tcPr>
            <w:tcW w:w="1412" w:type="pct"/>
            <w:shd w:val="clear" w:color="auto" w:fill="auto"/>
            <w:tcMar>
              <w:top w:w="80" w:type="dxa"/>
              <w:left w:w="0" w:type="dxa"/>
              <w:bottom w:w="8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Aerobic and anaerobic gram-positive bacteria</w:t>
            </w:r>
          </w:p>
        </w:tc>
        <w:tc>
          <w:tcPr>
            <w:tcW w:w="619" w:type="pct"/>
            <w:shd w:val="clear" w:color="auto" w:fill="auto"/>
            <w:tcMar>
              <w:top w:w="80" w:type="dxa"/>
              <w:left w:w="0" w:type="dxa"/>
              <w:bottom w:w="8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E038AA" w:rsidRPr="00E038AA" w:rsidTr="00E038AA">
        <w:trPr>
          <w:trHeight w:val="60"/>
        </w:trPr>
        <w:tc>
          <w:tcPr>
            <w:tcW w:w="670" w:type="pct"/>
            <w:shd w:val="clear" w:color="auto" w:fill="auto"/>
            <w:tcMar>
              <w:top w:w="80" w:type="dxa"/>
              <w:left w:w="0" w:type="dxa"/>
              <w:bottom w:w="12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Vidarabine</w:t>
            </w:r>
          </w:p>
        </w:tc>
        <w:tc>
          <w:tcPr>
            <w:tcW w:w="580" w:type="pct"/>
            <w:shd w:val="clear" w:color="auto" w:fill="auto"/>
            <w:tcMar>
              <w:top w:w="80" w:type="dxa"/>
              <w:left w:w="0" w:type="dxa"/>
              <w:bottom w:w="12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Ophthalmic ointment</w:t>
            </w:r>
          </w:p>
        </w:tc>
        <w:tc>
          <w:tcPr>
            <w:tcW w:w="313" w:type="pct"/>
            <w:shd w:val="clear" w:color="auto" w:fill="auto"/>
            <w:tcMar>
              <w:top w:w="80" w:type="dxa"/>
              <w:left w:w="0" w:type="dxa"/>
              <w:bottom w:w="12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w:t>
            </w:r>
          </w:p>
        </w:tc>
        <w:tc>
          <w:tcPr>
            <w:tcW w:w="677" w:type="pct"/>
            <w:shd w:val="clear" w:color="auto" w:fill="auto"/>
            <w:tcMar>
              <w:top w:w="80" w:type="dxa"/>
              <w:left w:w="0" w:type="dxa"/>
              <w:bottom w:w="12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3–6 times daily</w:t>
            </w:r>
          </w:p>
        </w:tc>
        <w:tc>
          <w:tcPr>
            <w:tcW w:w="729" w:type="pct"/>
            <w:shd w:val="clear" w:color="auto" w:fill="auto"/>
            <w:tcMar>
              <w:top w:w="80" w:type="dxa"/>
              <w:left w:w="0" w:type="dxa"/>
              <w:bottom w:w="12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Antiviral</w:t>
            </w:r>
          </w:p>
        </w:tc>
        <w:tc>
          <w:tcPr>
            <w:tcW w:w="1412" w:type="pct"/>
            <w:shd w:val="clear" w:color="auto" w:fill="auto"/>
            <w:tcMar>
              <w:top w:w="80" w:type="dxa"/>
              <w:left w:w="0" w:type="dxa"/>
              <w:bottom w:w="120" w:type="dxa"/>
              <w:right w:w="12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Not currently commercially available</w:t>
            </w:r>
          </w:p>
        </w:tc>
        <w:tc>
          <w:tcPr>
            <w:tcW w:w="619" w:type="pct"/>
            <w:shd w:val="clear" w:color="auto" w:fill="auto"/>
            <w:tcMar>
              <w:top w:w="80" w:type="dxa"/>
              <w:left w:w="0" w:type="dxa"/>
              <w:bottom w:w="120" w:type="dxa"/>
              <w:right w:w="0" w:type="dxa"/>
            </w:tcMar>
          </w:tcPr>
          <w:p w:rsidR="00033C9A" w:rsidRPr="00E038AA" w:rsidRDefault="00033C9A" w:rsidP="000F66AA">
            <w:pPr>
              <w:pStyle w:val="tabletext"/>
              <w:suppressAutoHyphens/>
              <w:spacing w:line="360" w:lineRule="auto"/>
              <w:rPr>
                <w:rFonts w:asciiTheme="minorHAnsi" w:hAnsiTheme="minorHAnsi" w:cstheme="minorHAnsi"/>
                <w:color w:val="auto"/>
                <w:sz w:val="14"/>
                <w:szCs w:val="14"/>
              </w:rPr>
            </w:pPr>
            <w:r w:rsidRPr="00E038AA">
              <w:rPr>
                <w:rFonts w:asciiTheme="minorHAnsi" w:hAnsiTheme="minorHAnsi" w:cstheme="minorHAnsi"/>
                <w:color w:val="auto"/>
                <w:sz w:val="14"/>
                <w:szCs w:val="14"/>
              </w:rPr>
              <w:t>Contact dermatitis</w:t>
            </w:r>
          </w:p>
        </w:tc>
      </w:tr>
      <w:tr w:rsidR="00033C9A" w:rsidRPr="00E038AA" w:rsidTr="00E038AA">
        <w:trPr>
          <w:trHeight w:val="60"/>
        </w:trPr>
        <w:tc>
          <w:tcPr>
            <w:tcW w:w="5000" w:type="pct"/>
            <w:gridSpan w:val="7"/>
            <w:shd w:val="clear" w:color="auto" w:fill="auto"/>
            <w:tcMar>
              <w:top w:w="80" w:type="dxa"/>
              <w:left w:w="0" w:type="dxa"/>
              <w:bottom w:w="80" w:type="dxa"/>
              <w:right w:w="0" w:type="dxa"/>
            </w:tcMar>
          </w:tcPr>
          <w:p w:rsidR="00033C9A" w:rsidRPr="00E038AA" w:rsidRDefault="00033C9A" w:rsidP="000F66AA">
            <w:pPr>
              <w:pStyle w:val="tablefootnote"/>
              <w:suppressAutoHyphens/>
              <w:spacing w:line="360" w:lineRule="auto"/>
              <w:rPr>
                <w:rFonts w:asciiTheme="minorHAnsi" w:hAnsiTheme="minorHAnsi" w:cstheme="minorHAnsi"/>
                <w:color w:val="auto"/>
                <w:sz w:val="14"/>
                <w:szCs w:val="14"/>
              </w:rPr>
            </w:pPr>
            <w:r w:rsidRPr="00E038AA">
              <w:rPr>
                <w:rStyle w:val="sup"/>
                <w:rFonts w:asciiTheme="minorHAnsi" w:hAnsiTheme="minorHAnsi" w:cstheme="minorHAnsi"/>
                <w:color w:val="auto"/>
                <w:sz w:val="14"/>
                <w:szCs w:val="14"/>
              </w:rPr>
              <w:t>a</w:t>
            </w:r>
            <w:r w:rsidRPr="00E038AA">
              <w:rPr>
                <w:rFonts w:asciiTheme="minorHAnsi" w:hAnsiTheme="minorHAnsi" w:cstheme="minorHAnsi"/>
                <w:color w:val="auto"/>
                <w:sz w:val="14"/>
                <w:szCs w:val="14"/>
              </w:rPr>
              <w:t>Blurred vision, eye irritation, eyelid erythema and edema, conjunctival hyperemia, punctate keratitis.</w:t>
            </w:r>
          </w:p>
        </w:tc>
      </w:tr>
    </w:tbl>
    <w:p w:rsidR="00033C9A" w:rsidRPr="00E038AA" w:rsidRDefault="00033C9A" w:rsidP="000F66AA">
      <w:pPr>
        <w:pStyle w:val="BasicParagraph"/>
        <w:suppressAutoHyphens/>
        <w:spacing w:line="360" w:lineRule="auto"/>
        <w:rPr>
          <w:rFonts w:asciiTheme="minorHAnsi" w:hAnsiTheme="minorHAnsi" w:cstheme="minorHAnsi"/>
          <w:bCs/>
          <w:iCs/>
          <w:color w:val="auto"/>
          <w:sz w:val="14"/>
          <w:szCs w:val="14"/>
        </w:rPr>
      </w:pPr>
    </w:p>
    <w:sectPr w:rsidR="00033C9A" w:rsidRPr="00E038AA" w:rsidSect="00F138DB">
      <w:pgSz w:w="15840" w:h="12240" w:orient="landscape"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35" w:rsidRDefault="005B0335" w:rsidP="00C16FFE">
      <w:pPr>
        <w:spacing w:after="0" w:line="240" w:lineRule="auto"/>
      </w:pPr>
      <w:r>
        <w:separator/>
      </w:r>
    </w:p>
  </w:endnote>
  <w:endnote w:type="continuationSeparator" w:id="0">
    <w:p w:rsidR="005B0335" w:rsidRDefault="005B0335" w:rsidP="00C1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LTStd-MdCn">
    <w:panose1 w:val="00000000000000000000"/>
    <w:charset w:val="4D"/>
    <w:family w:val="auto"/>
    <w:notTrueType/>
    <w:pitch w:val="default"/>
    <w:sig w:usb0="00000003" w:usb1="00000000" w:usb2="00000000" w:usb3="00000000" w:csb0="00000001" w:csb1="00000000"/>
  </w:font>
  <w:font w:name="HelveticaNeueLTStd-C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D1" w:rsidRDefault="00030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FE" w:rsidRPr="00C16FFE" w:rsidRDefault="005759E2" w:rsidP="00C16FFE">
    <w:pPr>
      <w:pStyle w:val="Footer"/>
      <w:jc w:val="center"/>
      <w:rPr>
        <w:rFonts w:ascii="Times New Roman" w:hAnsi="Times New Roman"/>
        <w:sz w:val="24"/>
        <w:szCs w:val="24"/>
      </w:rPr>
    </w:pPr>
    <w:r w:rsidRPr="00C16FFE">
      <w:rPr>
        <w:rFonts w:ascii="Times New Roman" w:hAnsi="Times New Roman"/>
        <w:sz w:val="24"/>
        <w:szCs w:val="24"/>
      </w:rPr>
      <w:fldChar w:fldCharType="begin"/>
    </w:r>
    <w:r w:rsidR="00C16FFE" w:rsidRPr="00C16FFE">
      <w:rPr>
        <w:rFonts w:ascii="Times New Roman" w:hAnsi="Times New Roman"/>
        <w:sz w:val="24"/>
        <w:szCs w:val="24"/>
      </w:rPr>
      <w:instrText xml:space="preserve"> PAGE   \* MERGEFORMAT </w:instrText>
    </w:r>
    <w:r w:rsidRPr="00C16FFE">
      <w:rPr>
        <w:rFonts w:ascii="Times New Roman" w:hAnsi="Times New Roman"/>
        <w:sz w:val="24"/>
        <w:szCs w:val="24"/>
      </w:rPr>
      <w:fldChar w:fldCharType="separate"/>
    </w:r>
    <w:r w:rsidR="000301D1">
      <w:rPr>
        <w:rFonts w:ascii="Times New Roman" w:hAnsi="Times New Roman"/>
        <w:noProof/>
        <w:sz w:val="24"/>
        <w:szCs w:val="24"/>
      </w:rPr>
      <w:t>4</w:t>
    </w:r>
    <w:r w:rsidRPr="00C16FFE">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D1" w:rsidRDefault="00030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35" w:rsidRDefault="005B0335" w:rsidP="00C16FFE">
      <w:pPr>
        <w:spacing w:after="0" w:line="240" w:lineRule="auto"/>
      </w:pPr>
      <w:r>
        <w:separator/>
      </w:r>
    </w:p>
  </w:footnote>
  <w:footnote w:type="continuationSeparator" w:id="0">
    <w:p w:rsidR="005B0335" w:rsidRDefault="005B0335" w:rsidP="00C16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D1" w:rsidRDefault="00030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D1" w:rsidRDefault="000301D1">
    <w:pPr>
      <w:pStyle w:val="Header"/>
    </w:pPr>
    <w:r>
      <w:t>From</w:t>
    </w:r>
    <w:r w:rsidRPr="000301D1">
      <w:t>8th Edition GOMELLA’S NEONATOLOGY</w:t>
    </w:r>
    <w:r>
      <w:t xml:space="preserve"> Tables for Chapter 58 </w:t>
    </w:r>
    <w:bookmarkStart w:id="0" w:name="_GoBack"/>
    <w:bookmarkEnd w:id="0"/>
    <w:r>
      <w:t>Eye Discharge and Conjunctivitis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D1" w:rsidRDefault="00030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2F"/>
    <w:rsid w:val="000301D1"/>
    <w:rsid w:val="00033C9A"/>
    <w:rsid w:val="00062AEE"/>
    <w:rsid w:val="00073E12"/>
    <w:rsid w:val="000D6CBB"/>
    <w:rsid w:val="000F66AA"/>
    <w:rsid w:val="00213EAB"/>
    <w:rsid w:val="00292873"/>
    <w:rsid w:val="002939D8"/>
    <w:rsid w:val="002C29A7"/>
    <w:rsid w:val="002D1DC4"/>
    <w:rsid w:val="002D3B78"/>
    <w:rsid w:val="002D5965"/>
    <w:rsid w:val="003204E6"/>
    <w:rsid w:val="00333B95"/>
    <w:rsid w:val="00382997"/>
    <w:rsid w:val="003B713B"/>
    <w:rsid w:val="004263E4"/>
    <w:rsid w:val="00445F89"/>
    <w:rsid w:val="00523811"/>
    <w:rsid w:val="00545412"/>
    <w:rsid w:val="005759E2"/>
    <w:rsid w:val="005B0335"/>
    <w:rsid w:val="00676B0A"/>
    <w:rsid w:val="006E1622"/>
    <w:rsid w:val="007156AC"/>
    <w:rsid w:val="007200ED"/>
    <w:rsid w:val="00801CAF"/>
    <w:rsid w:val="008061C3"/>
    <w:rsid w:val="0082572F"/>
    <w:rsid w:val="00834E78"/>
    <w:rsid w:val="00847BB1"/>
    <w:rsid w:val="008A1B39"/>
    <w:rsid w:val="008A7A6C"/>
    <w:rsid w:val="008B58DB"/>
    <w:rsid w:val="008D23F5"/>
    <w:rsid w:val="008F0EFF"/>
    <w:rsid w:val="008F5651"/>
    <w:rsid w:val="009A6DBA"/>
    <w:rsid w:val="009D30A4"/>
    <w:rsid w:val="00A82A31"/>
    <w:rsid w:val="00AA21F8"/>
    <w:rsid w:val="00AF4C19"/>
    <w:rsid w:val="00B31614"/>
    <w:rsid w:val="00B321FC"/>
    <w:rsid w:val="00B47E3D"/>
    <w:rsid w:val="00B95F2E"/>
    <w:rsid w:val="00C10811"/>
    <w:rsid w:val="00C16FFE"/>
    <w:rsid w:val="00C612F8"/>
    <w:rsid w:val="00CD00E2"/>
    <w:rsid w:val="00D420DF"/>
    <w:rsid w:val="00D6206C"/>
    <w:rsid w:val="00D8135A"/>
    <w:rsid w:val="00DD4C4B"/>
    <w:rsid w:val="00E038AA"/>
    <w:rsid w:val="00E422DE"/>
    <w:rsid w:val="00F138DB"/>
    <w:rsid w:val="00F33EBD"/>
    <w:rsid w:val="00FE1BCA"/>
    <w:rsid w:val="00FE2B01"/>
    <w:rsid w:val="00FF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759E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5759E2"/>
  </w:style>
  <w:style w:type="paragraph" w:customStyle="1" w:styleId="tabletitle">
    <w:name w:val="table_title"/>
    <w:basedOn w:val="NoParagraphStyle"/>
    <w:uiPriority w:val="99"/>
    <w:rsid w:val="005759E2"/>
    <w:pPr>
      <w:keepLines/>
      <w:suppressAutoHyphens/>
      <w:spacing w:after="130" w:line="220" w:lineRule="atLeast"/>
    </w:pPr>
    <w:rPr>
      <w:rFonts w:ascii="HelveticaNeueLTStd-MdCn" w:hAnsi="HelveticaNeueLTStd-MdCn" w:cs="HelveticaNeueLTStd-MdCn"/>
      <w:caps/>
      <w:spacing w:val="-2"/>
      <w:sz w:val="18"/>
      <w:szCs w:val="18"/>
      <w:lang w:val="en-US"/>
    </w:rPr>
  </w:style>
  <w:style w:type="paragraph" w:customStyle="1" w:styleId="tablecolumnhead">
    <w:name w:val="table_columnhead"/>
    <w:basedOn w:val="BasicParagraph"/>
    <w:next w:val="NoParagraphStyle"/>
    <w:uiPriority w:val="99"/>
    <w:rsid w:val="005759E2"/>
    <w:pPr>
      <w:keepLines/>
      <w:suppressAutoHyphens/>
      <w:spacing w:before="30" w:after="160" w:line="180" w:lineRule="atLeast"/>
      <w:jc w:val="center"/>
    </w:pPr>
    <w:rPr>
      <w:rFonts w:ascii="HelveticaNeueLTStd-MdCn" w:hAnsi="HelveticaNeueLTStd-MdCn" w:cs="HelveticaNeueLTStd-MdCn"/>
      <w:spacing w:val="-2"/>
      <w:sz w:val="18"/>
      <w:szCs w:val="18"/>
    </w:rPr>
  </w:style>
  <w:style w:type="paragraph" w:customStyle="1" w:styleId="tabletext">
    <w:name w:val="table_text"/>
    <w:basedOn w:val="NoParagraphStyle"/>
    <w:uiPriority w:val="99"/>
    <w:rsid w:val="005759E2"/>
    <w:pPr>
      <w:spacing w:line="190" w:lineRule="atLeast"/>
      <w:ind w:left="160" w:hanging="160"/>
    </w:pPr>
    <w:rPr>
      <w:rFonts w:ascii="HelveticaNeueLTStd-Cn" w:hAnsi="HelveticaNeueLTStd-Cn" w:cs="HelveticaNeueLTStd-Cn"/>
      <w:sz w:val="16"/>
      <w:szCs w:val="16"/>
      <w:lang w:val="en-US"/>
    </w:rPr>
  </w:style>
  <w:style w:type="paragraph" w:customStyle="1" w:styleId="tablefootnote">
    <w:name w:val="table_footnote"/>
    <w:basedOn w:val="NoParagraphStyle"/>
    <w:uiPriority w:val="99"/>
    <w:rsid w:val="005759E2"/>
    <w:pPr>
      <w:tabs>
        <w:tab w:val="left" w:pos="1560"/>
        <w:tab w:val="left" w:pos="3956"/>
      </w:tabs>
      <w:spacing w:line="190" w:lineRule="atLeast"/>
    </w:pPr>
    <w:rPr>
      <w:rFonts w:ascii="HelveticaNeueLTStd-Cn" w:hAnsi="HelveticaNeueLTStd-Cn" w:cs="HelveticaNeueLTStd-Cn"/>
      <w:sz w:val="16"/>
      <w:szCs w:val="16"/>
      <w:lang w:val="en-US"/>
    </w:rPr>
  </w:style>
  <w:style w:type="character" w:customStyle="1" w:styleId="tablenumber">
    <w:name w:val="table_number"/>
    <w:uiPriority w:val="99"/>
    <w:rsid w:val="005759E2"/>
  </w:style>
  <w:style w:type="character" w:customStyle="1" w:styleId="sub">
    <w:name w:val="sub"/>
    <w:uiPriority w:val="99"/>
    <w:rsid w:val="005759E2"/>
    <w:rPr>
      <w:vertAlign w:val="subscript"/>
    </w:rPr>
  </w:style>
  <w:style w:type="character" w:customStyle="1" w:styleId="tablesub">
    <w:name w:val="table_sub"/>
    <w:uiPriority w:val="99"/>
    <w:rsid w:val="005759E2"/>
    <w:rPr>
      <w:vertAlign w:val="subscript"/>
    </w:rPr>
  </w:style>
  <w:style w:type="character" w:customStyle="1" w:styleId="symbol">
    <w:name w:val="symbol"/>
    <w:uiPriority w:val="99"/>
    <w:rsid w:val="005759E2"/>
    <w:rPr>
      <w:rFonts w:ascii="Symbol" w:hAnsi="Symbol" w:cs="Symbol"/>
      <w:vertAlign w:val="baseline"/>
    </w:rPr>
  </w:style>
  <w:style w:type="character" w:customStyle="1" w:styleId="tablesup">
    <w:name w:val="table_sup"/>
    <w:uiPriority w:val="99"/>
    <w:rsid w:val="005759E2"/>
    <w:rPr>
      <w:vertAlign w:val="superscript"/>
    </w:rPr>
  </w:style>
  <w:style w:type="character" w:customStyle="1" w:styleId="tablefootnotesup">
    <w:name w:val="table_footnote_sup"/>
    <w:uiPriority w:val="99"/>
    <w:rsid w:val="005759E2"/>
    <w:rPr>
      <w:vertAlign w:val="superscript"/>
    </w:rPr>
  </w:style>
  <w:style w:type="character" w:customStyle="1" w:styleId="boldextratab">
    <w:name w:val="bold_extra_tab"/>
    <w:uiPriority w:val="99"/>
    <w:rsid w:val="005759E2"/>
    <w:rPr>
      <w:b/>
      <w:bCs/>
    </w:rPr>
  </w:style>
  <w:style w:type="character" w:customStyle="1" w:styleId="italictab">
    <w:name w:val="italic_tab"/>
    <w:uiPriority w:val="99"/>
    <w:rsid w:val="005759E2"/>
    <w:rPr>
      <w:i/>
      <w:iCs/>
    </w:rPr>
  </w:style>
  <w:style w:type="character" w:customStyle="1" w:styleId="boldtab">
    <w:name w:val="bold_tab"/>
    <w:uiPriority w:val="99"/>
    <w:rsid w:val="005759E2"/>
  </w:style>
  <w:style w:type="character" w:customStyle="1" w:styleId="sup">
    <w:name w:val="sup"/>
    <w:uiPriority w:val="99"/>
    <w:rsid w:val="005759E2"/>
    <w:rPr>
      <w:vertAlign w:val="superscript"/>
    </w:rPr>
  </w:style>
  <w:style w:type="character" w:customStyle="1" w:styleId="tableitalic">
    <w:name w:val="table_italic"/>
    <w:uiPriority w:val="99"/>
    <w:rsid w:val="005759E2"/>
    <w:rPr>
      <w:i/>
      <w:iCs/>
    </w:rPr>
  </w:style>
  <w:style w:type="character" w:customStyle="1" w:styleId="tablefootnoteitalic">
    <w:name w:val="table_footnote_italic"/>
    <w:uiPriority w:val="99"/>
    <w:rsid w:val="005759E2"/>
    <w:rPr>
      <w:i/>
      <w:iCs/>
    </w:rPr>
  </w:style>
  <w:style w:type="character" w:customStyle="1" w:styleId="tablenumber0">
    <w:name w:val="table_number!"/>
    <w:uiPriority w:val="99"/>
    <w:rsid w:val="005759E2"/>
    <w:rPr>
      <w:rFonts w:ascii="HelveticaNeueLTStd-MdCn" w:hAnsi="HelveticaNeueLTStd-MdCn" w:cs="HelveticaNeueLTStd-MdCn"/>
      <w:color w:val="004A80"/>
      <w:spacing w:val="0"/>
      <w:w w:val="100"/>
      <w:position w:val="0"/>
      <w:sz w:val="18"/>
      <w:szCs w:val="18"/>
      <w:u w:val="none"/>
      <w:vertAlign w:val="baseline"/>
      <w:em w:val="none"/>
      <w:lang w:val="en-US"/>
    </w:rPr>
  </w:style>
  <w:style w:type="paragraph" w:styleId="Header">
    <w:name w:val="header"/>
    <w:basedOn w:val="Normal"/>
    <w:link w:val="HeaderChar"/>
    <w:uiPriority w:val="99"/>
    <w:unhideWhenUsed/>
    <w:rsid w:val="00C16FFE"/>
    <w:pPr>
      <w:tabs>
        <w:tab w:val="center" w:pos="4680"/>
        <w:tab w:val="right" w:pos="9360"/>
      </w:tabs>
    </w:pPr>
  </w:style>
  <w:style w:type="character" w:customStyle="1" w:styleId="HeaderChar">
    <w:name w:val="Header Char"/>
    <w:basedOn w:val="DefaultParagraphFont"/>
    <w:link w:val="Header"/>
    <w:uiPriority w:val="99"/>
    <w:rsid w:val="00C16FFE"/>
    <w:rPr>
      <w:sz w:val="22"/>
      <w:szCs w:val="22"/>
    </w:rPr>
  </w:style>
  <w:style w:type="paragraph" w:styleId="Footer">
    <w:name w:val="footer"/>
    <w:basedOn w:val="Normal"/>
    <w:link w:val="FooterChar"/>
    <w:uiPriority w:val="99"/>
    <w:unhideWhenUsed/>
    <w:rsid w:val="00C16FFE"/>
    <w:pPr>
      <w:tabs>
        <w:tab w:val="center" w:pos="4680"/>
        <w:tab w:val="right" w:pos="9360"/>
      </w:tabs>
    </w:pPr>
  </w:style>
  <w:style w:type="character" w:customStyle="1" w:styleId="FooterChar">
    <w:name w:val="Footer Char"/>
    <w:basedOn w:val="DefaultParagraphFont"/>
    <w:link w:val="Footer"/>
    <w:uiPriority w:val="99"/>
    <w:rsid w:val="00C16FFE"/>
    <w:rPr>
      <w:sz w:val="22"/>
      <w:szCs w:val="22"/>
    </w:rPr>
  </w:style>
  <w:style w:type="paragraph" w:styleId="BalloonText">
    <w:name w:val="Balloon Text"/>
    <w:basedOn w:val="Normal"/>
    <w:link w:val="BalloonTextChar"/>
    <w:uiPriority w:val="99"/>
    <w:semiHidden/>
    <w:unhideWhenUsed/>
    <w:rsid w:val="00E03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759E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5759E2"/>
  </w:style>
  <w:style w:type="paragraph" w:customStyle="1" w:styleId="tabletitle">
    <w:name w:val="table_title"/>
    <w:basedOn w:val="NoParagraphStyle"/>
    <w:uiPriority w:val="99"/>
    <w:rsid w:val="005759E2"/>
    <w:pPr>
      <w:keepLines/>
      <w:suppressAutoHyphens/>
      <w:spacing w:after="130" w:line="220" w:lineRule="atLeast"/>
    </w:pPr>
    <w:rPr>
      <w:rFonts w:ascii="HelveticaNeueLTStd-MdCn" w:hAnsi="HelveticaNeueLTStd-MdCn" w:cs="HelveticaNeueLTStd-MdCn"/>
      <w:caps/>
      <w:spacing w:val="-2"/>
      <w:sz w:val="18"/>
      <w:szCs w:val="18"/>
      <w:lang w:val="en-US"/>
    </w:rPr>
  </w:style>
  <w:style w:type="paragraph" w:customStyle="1" w:styleId="tablecolumnhead">
    <w:name w:val="table_columnhead"/>
    <w:basedOn w:val="BasicParagraph"/>
    <w:next w:val="NoParagraphStyle"/>
    <w:uiPriority w:val="99"/>
    <w:rsid w:val="005759E2"/>
    <w:pPr>
      <w:keepLines/>
      <w:suppressAutoHyphens/>
      <w:spacing w:before="30" w:after="160" w:line="180" w:lineRule="atLeast"/>
      <w:jc w:val="center"/>
    </w:pPr>
    <w:rPr>
      <w:rFonts w:ascii="HelveticaNeueLTStd-MdCn" w:hAnsi="HelveticaNeueLTStd-MdCn" w:cs="HelveticaNeueLTStd-MdCn"/>
      <w:spacing w:val="-2"/>
      <w:sz w:val="18"/>
      <w:szCs w:val="18"/>
    </w:rPr>
  </w:style>
  <w:style w:type="paragraph" w:customStyle="1" w:styleId="tabletext">
    <w:name w:val="table_text"/>
    <w:basedOn w:val="NoParagraphStyle"/>
    <w:uiPriority w:val="99"/>
    <w:rsid w:val="005759E2"/>
    <w:pPr>
      <w:spacing w:line="190" w:lineRule="atLeast"/>
      <w:ind w:left="160" w:hanging="160"/>
    </w:pPr>
    <w:rPr>
      <w:rFonts w:ascii="HelveticaNeueLTStd-Cn" w:hAnsi="HelveticaNeueLTStd-Cn" w:cs="HelveticaNeueLTStd-Cn"/>
      <w:sz w:val="16"/>
      <w:szCs w:val="16"/>
      <w:lang w:val="en-US"/>
    </w:rPr>
  </w:style>
  <w:style w:type="paragraph" w:customStyle="1" w:styleId="tablefootnote">
    <w:name w:val="table_footnote"/>
    <w:basedOn w:val="NoParagraphStyle"/>
    <w:uiPriority w:val="99"/>
    <w:rsid w:val="005759E2"/>
    <w:pPr>
      <w:tabs>
        <w:tab w:val="left" w:pos="1560"/>
        <w:tab w:val="left" w:pos="3956"/>
      </w:tabs>
      <w:spacing w:line="190" w:lineRule="atLeast"/>
    </w:pPr>
    <w:rPr>
      <w:rFonts w:ascii="HelveticaNeueLTStd-Cn" w:hAnsi="HelveticaNeueLTStd-Cn" w:cs="HelveticaNeueLTStd-Cn"/>
      <w:sz w:val="16"/>
      <w:szCs w:val="16"/>
      <w:lang w:val="en-US"/>
    </w:rPr>
  </w:style>
  <w:style w:type="character" w:customStyle="1" w:styleId="tablenumber">
    <w:name w:val="table_number"/>
    <w:uiPriority w:val="99"/>
    <w:rsid w:val="005759E2"/>
  </w:style>
  <w:style w:type="character" w:customStyle="1" w:styleId="sub">
    <w:name w:val="sub"/>
    <w:uiPriority w:val="99"/>
    <w:rsid w:val="005759E2"/>
    <w:rPr>
      <w:vertAlign w:val="subscript"/>
    </w:rPr>
  </w:style>
  <w:style w:type="character" w:customStyle="1" w:styleId="tablesub">
    <w:name w:val="table_sub"/>
    <w:uiPriority w:val="99"/>
    <w:rsid w:val="005759E2"/>
    <w:rPr>
      <w:vertAlign w:val="subscript"/>
    </w:rPr>
  </w:style>
  <w:style w:type="character" w:customStyle="1" w:styleId="symbol">
    <w:name w:val="symbol"/>
    <w:uiPriority w:val="99"/>
    <w:rsid w:val="005759E2"/>
    <w:rPr>
      <w:rFonts w:ascii="Symbol" w:hAnsi="Symbol" w:cs="Symbol"/>
      <w:vertAlign w:val="baseline"/>
    </w:rPr>
  </w:style>
  <w:style w:type="character" w:customStyle="1" w:styleId="tablesup">
    <w:name w:val="table_sup"/>
    <w:uiPriority w:val="99"/>
    <w:rsid w:val="005759E2"/>
    <w:rPr>
      <w:vertAlign w:val="superscript"/>
    </w:rPr>
  </w:style>
  <w:style w:type="character" w:customStyle="1" w:styleId="tablefootnotesup">
    <w:name w:val="table_footnote_sup"/>
    <w:uiPriority w:val="99"/>
    <w:rsid w:val="005759E2"/>
    <w:rPr>
      <w:vertAlign w:val="superscript"/>
    </w:rPr>
  </w:style>
  <w:style w:type="character" w:customStyle="1" w:styleId="boldextratab">
    <w:name w:val="bold_extra_tab"/>
    <w:uiPriority w:val="99"/>
    <w:rsid w:val="005759E2"/>
    <w:rPr>
      <w:b/>
      <w:bCs/>
    </w:rPr>
  </w:style>
  <w:style w:type="character" w:customStyle="1" w:styleId="italictab">
    <w:name w:val="italic_tab"/>
    <w:uiPriority w:val="99"/>
    <w:rsid w:val="005759E2"/>
    <w:rPr>
      <w:i/>
      <w:iCs/>
    </w:rPr>
  </w:style>
  <w:style w:type="character" w:customStyle="1" w:styleId="boldtab">
    <w:name w:val="bold_tab"/>
    <w:uiPriority w:val="99"/>
    <w:rsid w:val="005759E2"/>
  </w:style>
  <w:style w:type="character" w:customStyle="1" w:styleId="sup">
    <w:name w:val="sup"/>
    <w:uiPriority w:val="99"/>
    <w:rsid w:val="005759E2"/>
    <w:rPr>
      <w:vertAlign w:val="superscript"/>
    </w:rPr>
  </w:style>
  <w:style w:type="character" w:customStyle="1" w:styleId="tableitalic">
    <w:name w:val="table_italic"/>
    <w:uiPriority w:val="99"/>
    <w:rsid w:val="005759E2"/>
    <w:rPr>
      <w:i/>
      <w:iCs/>
    </w:rPr>
  </w:style>
  <w:style w:type="character" w:customStyle="1" w:styleId="tablefootnoteitalic">
    <w:name w:val="table_footnote_italic"/>
    <w:uiPriority w:val="99"/>
    <w:rsid w:val="005759E2"/>
    <w:rPr>
      <w:i/>
      <w:iCs/>
    </w:rPr>
  </w:style>
  <w:style w:type="character" w:customStyle="1" w:styleId="tablenumber0">
    <w:name w:val="table_number!"/>
    <w:uiPriority w:val="99"/>
    <w:rsid w:val="005759E2"/>
    <w:rPr>
      <w:rFonts w:ascii="HelveticaNeueLTStd-MdCn" w:hAnsi="HelveticaNeueLTStd-MdCn" w:cs="HelveticaNeueLTStd-MdCn"/>
      <w:color w:val="004A80"/>
      <w:spacing w:val="0"/>
      <w:w w:val="100"/>
      <w:position w:val="0"/>
      <w:sz w:val="18"/>
      <w:szCs w:val="18"/>
      <w:u w:val="none"/>
      <w:vertAlign w:val="baseline"/>
      <w:em w:val="none"/>
      <w:lang w:val="en-US"/>
    </w:rPr>
  </w:style>
  <w:style w:type="paragraph" w:styleId="Header">
    <w:name w:val="header"/>
    <w:basedOn w:val="Normal"/>
    <w:link w:val="HeaderChar"/>
    <w:uiPriority w:val="99"/>
    <w:unhideWhenUsed/>
    <w:rsid w:val="00C16FFE"/>
    <w:pPr>
      <w:tabs>
        <w:tab w:val="center" w:pos="4680"/>
        <w:tab w:val="right" w:pos="9360"/>
      </w:tabs>
    </w:pPr>
  </w:style>
  <w:style w:type="character" w:customStyle="1" w:styleId="HeaderChar">
    <w:name w:val="Header Char"/>
    <w:basedOn w:val="DefaultParagraphFont"/>
    <w:link w:val="Header"/>
    <w:uiPriority w:val="99"/>
    <w:rsid w:val="00C16FFE"/>
    <w:rPr>
      <w:sz w:val="22"/>
      <w:szCs w:val="22"/>
    </w:rPr>
  </w:style>
  <w:style w:type="paragraph" w:styleId="Footer">
    <w:name w:val="footer"/>
    <w:basedOn w:val="Normal"/>
    <w:link w:val="FooterChar"/>
    <w:uiPriority w:val="99"/>
    <w:unhideWhenUsed/>
    <w:rsid w:val="00C16FFE"/>
    <w:pPr>
      <w:tabs>
        <w:tab w:val="center" w:pos="4680"/>
        <w:tab w:val="right" w:pos="9360"/>
      </w:tabs>
    </w:pPr>
  </w:style>
  <w:style w:type="character" w:customStyle="1" w:styleId="FooterChar">
    <w:name w:val="Footer Char"/>
    <w:basedOn w:val="DefaultParagraphFont"/>
    <w:link w:val="Footer"/>
    <w:uiPriority w:val="99"/>
    <w:rsid w:val="00C16FFE"/>
    <w:rPr>
      <w:sz w:val="22"/>
      <w:szCs w:val="22"/>
    </w:rPr>
  </w:style>
  <w:style w:type="paragraph" w:styleId="BalloonText">
    <w:name w:val="Balloon Text"/>
    <w:basedOn w:val="Normal"/>
    <w:link w:val="BalloonTextChar"/>
    <w:uiPriority w:val="99"/>
    <w:semiHidden/>
    <w:unhideWhenUsed/>
    <w:rsid w:val="00E03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594B-BA81-4060-910E-A708EDA2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lenny</cp:lastModifiedBy>
  <cp:revision>2</cp:revision>
  <dcterms:created xsi:type="dcterms:W3CDTF">2023-03-19T23:56:00Z</dcterms:created>
  <dcterms:modified xsi:type="dcterms:W3CDTF">2023-03-19T23:56:00Z</dcterms:modified>
</cp:coreProperties>
</file>